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2599D" w14:textId="77777777" w:rsidR="007B463F" w:rsidRDefault="000B6433">
      <w:pPr>
        <w:pStyle w:val="Default"/>
        <w:jc w:val="both"/>
        <w:rPr>
          <w:rFonts w:ascii="Times New Roman" w:hAnsi="Times New Roman" w:cs="Times New Roman"/>
          <w:color w:val="auto"/>
          <w:sz w:val="28"/>
          <w:szCs w:val="28"/>
        </w:rPr>
      </w:pPr>
      <w:r>
        <w:rPr>
          <w:rFonts w:ascii="Times New Roman" w:hAnsi="Times New Roman" w:cs="Times New Roman"/>
          <w:color w:val="auto"/>
          <w:sz w:val="28"/>
          <w:szCs w:val="28"/>
        </w:rPr>
        <w:t>豁免：</w:t>
      </w:r>
      <w:r>
        <w:rPr>
          <w:rFonts w:ascii="Times New Roman" w:hAnsi="Times New Roman" w:cs="Times New Roman"/>
          <w:sz w:val="28"/>
          <w:u w:val="single"/>
        </w:rPr>
        <w:t>发动机</w:t>
      </w:r>
      <w:proofErr w:type="gramStart"/>
      <w:r>
        <w:rPr>
          <w:rFonts w:ascii="Times New Roman" w:hAnsi="Times New Roman" w:cs="Times New Roman"/>
          <w:sz w:val="28"/>
          <w:u w:val="single"/>
        </w:rPr>
        <w:t>不可控高推力</w:t>
      </w:r>
      <w:proofErr w:type="gramEnd"/>
      <w:r>
        <w:rPr>
          <w:rFonts w:ascii="Times New Roman" w:hAnsi="Times New Roman" w:cs="Times New Roman"/>
          <w:sz w:val="28"/>
          <w:u w:val="single"/>
        </w:rPr>
        <w:t>（功率）部分豁免</w:t>
      </w:r>
      <w:r>
        <w:rPr>
          <w:rFonts w:ascii="Times New Roman" w:hAnsi="Times New Roman" w:cs="Times New Roman"/>
          <w:color w:val="auto"/>
          <w:sz w:val="28"/>
          <w:szCs w:val="28"/>
        </w:rPr>
        <w:t>征求意见稿</w:t>
      </w:r>
    </w:p>
    <w:p w14:paraId="57613D61" w14:textId="34707865" w:rsidR="007B463F" w:rsidRDefault="000B6433">
      <w:pPr>
        <w:pStyle w:val="Default"/>
        <w:jc w:val="both"/>
        <w:rPr>
          <w:rFonts w:ascii="Times New Roman" w:hAnsi="Times New Roman" w:cs="Times New Roman"/>
          <w:color w:val="auto"/>
          <w:sz w:val="28"/>
          <w:szCs w:val="28"/>
        </w:rPr>
      </w:pPr>
      <w:r>
        <w:rPr>
          <w:rFonts w:ascii="Times New Roman" w:hAnsi="Times New Roman" w:cs="Times New Roman"/>
          <w:color w:val="auto"/>
          <w:sz w:val="28"/>
          <w:szCs w:val="28"/>
        </w:rPr>
        <w:t>编号：</w:t>
      </w:r>
      <w:r w:rsidRPr="000B6433">
        <w:rPr>
          <w:rFonts w:ascii="Times New Roman" w:hAnsi="Times New Roman" w:cs="Times New Roman"/>
          <w:color w:val="auto"/>
          <w:sz w:val="28"/>
          <w:szCs w:val="28"/>
        </w:rPr>
        <w:t>PE-029</w:t>
      </w:r>
      <w:bookmarkStart w:id="0" w:name="_GoBack"/>
      <w:bookmarkEnd w:id="0"/>
    </w:p>
    <w:p w14:paraId="12266C57" w14:textId="77777777" w:rsidR="007B463F" w:rsidRDefault="000B6433">
      <w:pPr>
        <w:pStyle w:val="Default"/>
        <w:jc w:val="both"/>
        <w:rPr>
          <w:rFonts w:ascii="Times New Roman" w:hAnsi="Times New Roman" w:cs="Times New Roman"/>
          <w:strike/>
          <w:color w:val="auto"/>
          <w:sz w:val="28"/>
          <w:szCs w:val="28"/>
        </w:rPr>
      </w:pPr>
      <w:r>
        <w:rPr>
          <w:rFonts w:ascii="Times New Roman" w:hAnsi="Times New Roman" w:cs="Times New Roman"/>
          <w:color w:val="auto"/>
          <w:sz w:val="28"/>
          <w:szCs w:val="28"/>
        </w:rPr>
        <w:t>反馈意见截止期：</w:t>
      </w:r>
      <w:r>
        <w:rPr>
          <w:rFonts w:ascii="Times New Roman" w:hAnsi="Times New Roman" w:cs="Times New Roman"/>
          <w:sz w:val="28"/>
          <w:szCs w:val="28"/>
        </w:rPr>
        <w:t>自通知颁发的</w:t>
      </w:r>
      <w:r>
        <w:rPr>
          <w:rFonts w:ascii="Times New Roman" w:hAnsi="Times New Roman" w:cs="Times New Roman"/>
          <w:sz w:val="28"/>
          <w:szCs w:val="28"/>
        </w:rPr>
        <w:t>10</w:t>
      </w:r>
      <w:r>
        <w:rPr>
          <w:rFonts w:ascii="Times New Roman" w:hAnsi="Times New Roman" w:cs="Times New Roman"/>
          <w:sz w:val="28"/>
          <w:szCs w:val="28"/>
        </w:rPr>
        <w:t>个工作日</w:t>
      </w:r>
    </w:p>
    <w:p w14:paraId="61A2F10A" w14:textId="77777777" w:rsidR="007B463F" w:rsidRDefault="000B6433">
      <w:pPr>
        <w:pStyle w:val="Default"/>
        <w:numPr>
          <w:ilvl w:val="0"/>
          <w:numId w:val="1"/>
        </w:numPr>
        <w:jc w:val="both"/>
        <w:outlineLvl w:val="0"/>
        <w:rPr>
          <w:rFonts w:ascii="Times New Roman" w:hAnsi="Times New Roman" w:cs="Times New Roman"/>
          <w:color w:val="auto"/>
          <w:sz w:val="28"/>
          <w:szCs w:val="28"/>
        </w:rPr>
      </w:pPr>
      <w:r>
        <w:rPr>
          <w:rFonts w:ascii="Times New Roman" w:hAnsi="Times New Roman" w:cs="Times New Roman"/>
          <w:color w:val="auto"/>
          <w:sz w:val="28"/>
          <w:szCs w:val="28"/>
        </w:rPr>
        <w:t>概述</w:t>
      </w:r>
    </w:p>
    <w:p w14:paraId="301EBB10"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CCAR-25-R4 25.901(c)</w:t>
      </w:r>
      <w:r>
        <w:rPr>
          <w:rFonts w:ascii="Times New Roman" w:eastAsia="仿宋_GB2312" w:hAnsi="Times New Roman" w:cs="Times New Roman"/>
          <w:sz w:val="28"/>
          <w:szCs w:val="28"/>
        </w:rPr>
        <w:t>要求：对于动力装置和辅助动力装置的安装，必须确认任何单个失效或故障或可能的失效组合都不会危及飞机的安全运行。</w:t>
      </w:r>
      <w:proofErr w:type="gramStart"/>
      <w:r>
        <w:rPr>
          <w:rFonts w:ascii="Times New Roman" w:eastAsia="仿宋_GB2312" w:hAnsi="Times New Roman" w:cs="Times New Roman"/>
          <w:sz w:val="28"/>
          <w:szCs w:val="28"/>
        </w:rPr>
        <w:t>中航通飞华南</w:t>
      </w:r>
      <w:proofErr w:type="gramEnd"/>
      <w:r>
        <w:rPr>
          <w:rFonts w:ascii="Times New Roman" w:eastAsia="仿宋_GB2312" w:hAnsi="Times New Roman" w:cs="Times New Roman"/>
          <w:sz w:val="28"/>
          <w:szCs w:val="28"/>
        </w:rPr>
        <w:t>飞机工业有限公司认为对于</w:t>
      </w:r>
      <w:r>
        <w:rPr>
          <w:rFonts w:ascii="Times New Roman" w:eastAsia="仿宋_GB2312" w:hAnsi="Times New Roman" w:cs="Times New Roman"/>
          <w:sz w:val="28"/>
          <w:szCs w:val="28"/>
        </w:rPr>
        <w:t>AG600</w:t>
      </w:r>
      <w:r>
        <w:rPr>
          <w:rFonts w:ascii="Times New Roman" w:eastAsia="仿宋_GB2312" w:hAnsi="Times New Roman" w:cs="Times New Roman"/>
          <w:sz w:val="28"/>
          <w:szCs w:val="28"/>
        </w:rPr>
        <w:t>飞机存在单个失效和可能的失效组合会导致机组无法通过正常的方法来减少过大的发动机推力（功率）。</w:t>
      </w:r>
    </w:p>
    <w:p w14:paraId="029A713F"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这种机组无法通过正常方法来减少过大的发动机推力（功率）的失效状态称之为</w:t>
      </w:r>
      <w:r>
        <w:rPr>
          <w:rFonts w:ascii="Times New Roman" w:eastAsia="仿宋_GB2312" w:hAnsi="Times New Roman" w:cs="Times New Roman"/>
          <w:sz w:val="28"/>
          <w:szCs w:val="28"/>
        </w:rPr>
        <w:t>“</w:t>
      </w:r>
      <w:r>
        <w:rPr>
          <w:rFonts w:ascii="Times New Roman" w:eastAsia="仿宋_GB2312" w:hAnsi="Times New Roman" w:cs="Times New Roman"/>
          <w:sz w:val="28"/>
          <w:szCs w:val="28"/>
        </w:rPr>
        <w:t>不可控高推力（功率）</w:t>
      </w:r>
      <w:r>
        <w:rPr>
          <w:rFonts w:ascii="Times New Roman" w:eastAsia="仿宋_GB2312" w:hAnsi="Times New Roman" w:cs="Times New Roman"/>
          <w:sz w:val="28"/>
          <w:szCs w:val="28"/>
        </w:rPr>
        <w:t>”</w:t>
      </w:r>
      <w:r>
        <w:rPr>
          <w:rFonts w:ascii="Times New Roman" w:eastAsia="仿宋_GB2312" w:hAnsi="Times New Roman" w:cs="Times New Roman"/>
          <w:sz w:val="28"/>
          <w:szCs w:val="28"/>
        </w:rPr>
        <w:t>（以下简称</w:t>
      </w:r>
      <w:r>
        <w:rPr>
          <w:rFonts w:ascii="Times New Roman" w:eastAsia="仿宋_GB2312" w:hAnsi="Times New Roman" w:cs="Times New Roman"/>
          <w:sz w:val="28"/>
          <w:szCs w:val="28"/>
        </w:rPr>
        <w:t xml:space="preserve">UHT, </w:t>
      </w:r>
      <w:r>
        <w:rPr>
          <w:rFonts w:ascii="Times New Roman" w:eastAsia="仿宋_GB2312" w:hAnsi="Times New Roman" w:cs="Times New Roman"/>
          <w:sz w:val="28"/>
          <w:szCs w:val="28"/>
        </w:rPr>
        <w:t>Uncontrollable High Engine Thrust</w:t>
      </w:r>
      <w:r>
        <w:rPr>
          <w:rFonts w:ascii="Times New Roman" w:eastAsia="仿宋_GB2312" w:hAnsi="Times New Roman" w:cs="Times New Roman"/>
          <w:sz w:val="28"/>
          <w:szCs w:val="28"/>
        </w:rPr>
        <w:t>）。工程研究和服役经验（</w:t>
      </w:r>
      <w:r>
        <w:rPr>
          <w:rFonts w:ascii="Times New Roman" w:eastAsia="仿宋_GB2312" w:hAnsi="Times New Roman" w:cs="Times New Roman"/>
          <w:sz w:val="28"/>
          <w:szCs w:val="28"/>
        </w:rPr>
        <w:t>1997</w:t>
      </w:r>
      <w:r>
        <w:rPr>
          <w:rFonts w:ascii="Times New Roman" w:eastAsia="仿宋_GB2312" w:hAnsi="Times New Roman" w:cs="Times New Roman"/>
          <w:sz w:val="28"/>
          <w:szCs w:val="28"/>
        </w:rPr>
        <w:t>年沙特阿拉伯航空公司</w:t>
      </w:r>
      <w:r>
        <w:rPr>
          <w:rFonts w:ascii="Times New Roman" w:eastAsia="仿宋_GB2312" w:hAnsi="Times New Roman" w:cs="Times New Roman"/>
          <w:sz w:val="28"/>
          <w:szCs w:val="28"/>
        </w:rPr>
        <w:t xml:space="preserve"> B737-200 </w:t>
      </w:r>
      <w:r>
        <w:rPr>
          <w:rFonts w:ascii="Times New Roman" w:eastAsia="仿宋_GB2312" w:hAnsi="Times New Roman" w:cs="Times New Roman"/>
          <w:sz w:val="28"/>
          <w:szCs w:val="28"/>
        </w:rPr>
        <w:t>空难）表明在丧失发动机推力（功率）正常控制措施的情况下（包括通过独立的燃油切断阀关闭故障发动机），传统上对于机组能意识到并安全地处置的假设其实并不总是正确的。</w:t>
      </w:r>
    </w:p>
    <w:p w14:paraId="2149FFFB"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传统发动机控制系统内一些单个故障和预期的故障组合都会导致丧失正常发动机推力（功率）大小和</w:t>
      </w:r>
      <w:r>
        <w:rPr>
          <w:rFonts w:ascii="Times New Roman" w:eastAsia="仿宋_GB2312" w:hAnsi="Times New Roman" w:cs="Times New Roman"/>
          <w:sz w:val="28"/>
          <w:szCs w:val="28"/>
        </w:rPr>
        <w:t>/</w:t>
      </w:r>
      <w:r>
        <w:rPr>
          <w:rFonts w:ascii="Times New Roman" w:eastAsia="仿宋_GB2312" w:hAnsi="Times New Roman" w:cs="Times New Roman"/>
          <w:sz w:val="28"/>
          <w:szCs w:val="28"/>
        </w:rPr>
        <w:t>或方向的控制。这样的故障出现时，指令为低推力（功率）而发动机实际推力（功率）增加</w:t>
      </w:r>
      <w:proofErr w:type="gramStart"/>
      <w:r>
        <w:rPr>
          <w:rFonts w:ascii="Times New Roman" w:eastAsia="仿宋_GB2312" w:hAnsi="Times New Roman" w:cs="Times New Roman"/>
          <w:sz w:val="28"/>
          <w:szCs w:val="28"/>
        </w:rPr>
        <w:t>至显著</w:t>
      </w:r>
      <w:proofErr w:type="gramEnd"/>
      <w:r>
        <w:rPr>
          <w:rFonts w:ascii="Times New Roman" w:eastAsia="仿宋_GB2312" w:hAnsi="Times New Roman" w:cs="Times New Roman"/>
          <w:sz w:val="28"/>
          <w:szCs w:val="28"/>
        </w:rPr>
        <w:t>高于指令推力，和</w:t>
      </w:r>
      <w:r>
        <w:rPr>
          <w:rFonts w:ascii="Times New Roman" w:eastAsia="仿宋_GB2312" w:hAnsi="Times New Roman" w:cs="Times New Roman"/>
          <w:sz w:val="28"/>
          <w:szCs w:val="28"/>
        </w:rPr>
        <w:t>/</w:t>
      </w:r>
      <w:r>
        <w:rPr>
          <w:rFonts w:ascii="Times New Roman" w:eastAsia="仿宋_GB2312" w:hAnsi="Times New Roman" w:cs="Times New Roman"/>
          <w:sz w:val="28"/>
          <w:szCs w:val="28"/>
        </w:rPr>
        <w:t>或保持在高推力状态。</w:t>
      </w:r>
      <w:r>
        <w:rPr>
          <w:rFonts w:ascii="Times New Roman" w:eastAsia="仿宋_GB2312" w:hAnsi="Times New Roman" w:cs="Times New Roman"/>
          <w:sz w:val="28"/>
          <w:szCs w:val="28"/>
        </w:rPr>
        <w:t>例如，发动机燃油计量装置卡阻，机组则不能用油门杆或自动油门控制推力。如果燃油计量装置卡阻在最大燃油流量位置，发动机推力将持续增加，直至达到发动机</w:t>
      </w:r>
      <w:r>
        <w:rPr>
          <w:rFonts w:ascii="Times New Roman" w:eastAsia="仿宋_GB2312" w:hAnsi="Times New Roman" w:cs="Times New Roman"/>
          <w:sz w:val="28"/>
          <w:szCs w:val="28"/>
        </w:rPr>
        <w:lastRenderedPageBreak/>
        <w:t>限制或机组采取某些干预措施为止。</w:t>
      </w:r>
      <w:r>
        <w:rPr>
          <w:rFonts w:ascii="Times New Roman" w:eastAsia="仿宋_GB2312" w:hAnsi="Times New Roman" w:cs="Times New Roman"/>
          <w:sz w:val="28"/>
          <w:szCs w:val="28"/>
        </w:rPr>
        <w:t>“</w:t>
      </w:r>
      <w:r>
        <w:rPr>
          <w:rFonts w:ascii="Times New Roman" w:eastAsia="仿宋_GB2312" w:hAnsi="Times New Roman" w:cs="Times New Roman"/>
          <w:sz w:val="28"/>
          <w:szCs w:val="28"/>
        </w:rPr>
        <w:t>发动机限制</w:t>
      </w:r>
      <w:r>
        <w:rPr>
          <w:rFonts w:ascii="Times New Roman" w:eastAsia="仿宋_GB2312" w:hAnsi="Times New Roman" w:cs="Times New Roman"/>
          <w:sz w:val="28"/>
          <w:szCs w:val="28"/>
        </w:rPr>
        <w:t>”</w:t>
      </w:r>
      <w:r>
        <w:rPr>
          <w:rFonts w:ascii="Times New Roman" w:eastAsia="仿宋_GB2312" w:hAnsi="Times New Roman" w:cs="Times New Roman"/>
          <w:sz w:val="28"/>
          <w:szCs w:val="28"/>
        </w:rPr>
        <w:t>可能是独立的发动机控制限制，如发动机超速保护；也可能是发动机的固有物理限制，如发动机失速，达到最大燃油流量下的最大推力（功率）或随之而来的发动机失效。</w:t>
      </w:r>
      <w:r>
        <w:rPr>
          <w:rFonts w:ascii="Times New Roman" w:eastAsia="仿宋_GB2312" w:hAnsi="Times New Roman" w:cs="Times New Roman"/>
          <w:sz w:val="28"/>
          <w:szCs w:val="28"/>
        </w:rPr>
        <w:t>“</w:t>
      </w:r>
      <w:r>
        <w:rPr>
          <w:rFonts w:ascii="Times New Roman" w:eastAsia="仿宋_GB2312" w:hAnsi="Times New Roman" w:cs="Times New Roman"/>
          <w:sz w:val="28"/>
          <w:szCs w:val="28"/>
        </w:rPr>
        <w:t>干预措施</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包括恢复正常控制的措施，或通过独立的燃油关断措施将受影响的发动机关车。</w:t>
      </w:r>
    </w:p>
    <w:p w14:paraId="0D772AD0"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在合格审定的安全性分析中明确这些失效状态时，传统上基于以下假设表明对相关条款的符合性：</w:t>
      </w:r>
      <w:r>
        <w:rPr>
          <w:rFonts w:ascii="Times New Roman" w:eastAsia="仿宋_GB2312" w:hAnsi="Times New Roman" w:cs="Times New Roman"/>
          <w:sz w:val="28"/>
          <w:szCs w:val="28"/>
        </w:rPr>
        <w:t>机组能够认知问题且能在该失效对飞机造成不可接受的危害之前通过独立的燃油切断装置将故障发动机关车。工程研究和服役经验（包括</w:t>
      </w:r>
      <w:r>
        <w:rPr>
          <w:rFonts w:ascii="Times New Roman" w:eastAsia="仿宋_GB2312" w:hAnsi="Times New Roman" w:cs="Times New Roman"/>
          <w:sz w:val="28"/>
          <w:szCs w:val="28"/>
        </w:rPr>
        <w:t>1997</w:t>
      </w:r>
      <w:r>
        <w:rPr>
          <w:rFonts w:ascii="Times New Roman" w:eastAsia="仿宋_GB2312" w:hAnsi="Times New Roman" w:cs="Times New Roman"/>
          <w:sz w:val="28"/>
          <w:szCs w:val="28"/>
        </w:rPr>
        <w:t>年沙特阿拉伯航空公司</w:t>
      </w:r>
      <w:r>
        <w:rPr>
          <w:rFonts w:ascii="Times New Roman" w:eastAsia="仿宋_GB2312" w:hAnsi="Times New Roman" w:cs="Times New Roman"/>
          <w:sz w:val="28"/>
          <w:szCs w:val="28"/>
        </w:rPr>
        <w:t>B737-200</w:t>
      </w:r>
      <w:r>
        <w:rPr>
          <w:rFonts w:ascii="Times New Roman" w:eastAsia="仿宋_GB2312" w:hAnsi="Times New Roman" w:cs="Times New Roman"/>
          <w:sz w:val="28"/>
          <w:szCs w:val="28"/>
        </w:rPr>
        <w:t>空难）均表明这样的假设</w:t>
      </w:r>
      <w:proofErr w:type="gramStart"/>
      <w:r>
        <w:rPr>
          <w:rFonts w:ascii="Times New Roman" w:eastAsia="仿宋_GB2312" w:hAnsi="Times New Roman" w:cs="Times New Roman"/>
          <w:sz w:val="28"/>
          <w:szCs w:val="28"/>
        </w:rPr>
        <w:t>不</w:t>
      </w:r>
      <w:proofErr w:type="gramEnd"/>
      <w:r>
        <w:rPr>
          <w:rFonts w:ascii="Times New Roman" w:eastAsia="仿宋_GB2312" w:hAnsi="Times New Roman" w:cs="Times New Roman"/>
          <w:sz w:val="28"/>
          <w:szCs w:val="28"/>
        </w:rPr>
        <w:t>总是正确的。</w:t>
      </w:r>
    </w:p>
    <w:p w14:paraId="66EF43C0"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在运输类飞机设计中，</w:t>
      </w:r>
      <w:r>
        <w:rPr>
          <w:rFonts w:ascii="Times New Roman" w:eastAsia="仿宋_GB2312" w:hAnsi="Times New Roman" w:cs="Times New Roman"/>
          <w:sz w:val="28"/>
          <w:szCs w:val="28"/>
        </w:rPr>
        <w:t>UHT</w:t>
      </w:r>
      <w:r>
        <w:rPr>
          <w:rFonts w:ascii="Times New Roman" w:eastAsia="仿宋_GB2312" w:hAnsi="Times New Roman" w:cs="Times New Roman"/>
          <w:sz w:val="28"/>
          <w:szCs w:val="28"/>
        </w:rPr>
        <w:t>失效状态及其危害长期且</w:t>
      </w:r>
      <w:proofErr w:type="gramStart"/>
      <w:r>
        <w:rPr>
          <w:rFonts w:ascii="Times New Roman" w:eastAsia="仿宋_GB2312" w:hAnsi="Times New Roman" w:cs="Times New Roman"/>
          <w:sz w:val="28"/>
          <w:szCs w:val="28"/>
        </w:rPr>
        <w:t>固有地</w:t>
      </w:r>
      <w:proofErr w:type="gramEnd"/>
      <w:r>
        <w:rPr>
          <w:rFonts w:ascii="Times New Roman" w:eastAsia="仿宋_GB2312" w:hAnsi="Times New Roman" w:cs="Times New Roman"/>
          <w:sz w:val="28"/>
          <w:szCs w:val="28"/>
        </w:rPr>
        <w:t>存在。实际上，传统的发动机控制采用</w:t>
      </w:r>
      <w:r>
        <w:rPr>
          <w:rFonts w:ascii="Times New Roman" w:eastAsia="仿宋_GB2312" w:hAnsi="Times New Roman" w:cs="Times New Roman"/>
          <w:sz w:val="28"/>
          <w:szCs w:val="28"/>
        </w:rPr>
        <w:t>“</w:t>
      </w:r>
      <w:r>
        <w:rPr>
          <w:rFonts w:ascii="Times New Roman" w:eastAsia="仿宋_GB2312" w:hAnsi="Times New Roman" w:cs="Times New Roman"/>
          <w:sz w:val="28"/>
          <w:szCs w:val="28"/>
        </w:rPr>
        <w:t>失效</w:t>
      </w:r>
      <w:r>
        <w:rPr>
          <w:rFonts w:ascii="Times New Roman" w:eastAsia="仿宋_GB2312" w:hAnsi="Times New Roman" w:cs="Times New Roman"/>
          <w:sz w:val="28"/>
          <w:szCs w:val="28"/>
        </w:rPr>
        <w:t>-</w:t>
      </w:r>
      <w:r>
        <w:rPr>
          <w:rFonts w:ascii="Times New Roman" w:eastAsia="仿宋_GB2312" w:hAnsi="Times New Roman" w:cs="Times New Roman"/>
          <w:sz w:val="28"/>
          <w:szCs w:val="28"/>
        </w:rPr>
        <w:t>安全</w:t>
      </w:r>
      <w:r>
        <w:rPr>
          <w:rFonts w:ascii="Times New Roman" w:eastAsia="仿宋_GB2312" w:hAnsi="Times New Roman" w:cs="Times New Roman"/>
          <w:sz w:val="28"/>
          <w:szCs w:val="28"/>
        </w:rPr>
        <w:t>”</w:t>
      </w:r>
      <w:r>
        <w:rPr>
          <w:rFonts w:ascii="Times New Roman" w:eastAsia="仿宋_GB2312" w:hAnsi="Times New Roman" w:cs="Times New Roman"/>
          <w:sz w:val="28"/>
          <w:szCs w:val="28"/>
        </w:rPr>
        <w:t>方式进行发动机高推力能力的保护，并且允许机组来决定发动机关车的恰当时机。根据对过去</w:t>
      </w:r>
      <w:r>
        <w:rPr>
          <w:rFonts w:ascii="Times New Roman" w:eastAsia="仿宋_GB2312" w:hAnsi="Times New Roman" w:cs="Times New Roman"/>
          <w:sz w:val="28"/>
          <w:szCs w:val="28"/>
        </w:rPr>
        <w:t>20</w:t>
      </w:r>
      <w:r>
        <w:rPr>
          <w:rFonts w:ascii="Times New Roman" w:eastAsia="仿宋_GB2312" w:hAnsi="Times New Roman" w:cs="Times New Roman"/>
          <w:sz w:val="28"/>
          <w:szCs w:val="28"/>
        </w:rPr>
        <w:t>年的粗略估计，运输类飞机涡轮风扇发动机丧失正常发动机推力（功率）控制故障的平均概率保持在</w:t>
      </w:r>
      <w:r>
        <w:rPr>
          <w:rFonts w:ascii="Times New Roman" w:eastAsia="仿宋_GB2312" w:hAnsi="Times New Roman" w:cs="Times New Roman"/>
          <w:sz w:val="28"/>
          <w:szCs w:val="28"/>
        </w:rPr>
        <w:t>1×10</w:t>
      </w:r>
      <w:r>
        <w:rPr>
          <w:rFonts w:ascii="Times New Roman" w:eastAsia="仿宋_GB2312" w:hAnsi="Times New Roman" w:cs="Times New Roman"/>
          <w:sz w:val="28"/>
          <w:szCs w:val="28"/>
          <w:vertAlign w:val="superscript"/>
        </w:rPr>
        <w:t>-7</w:t>
      </w:r>
      <w:r>
        <w:rPr>
          <w:rFonts w:ascii="Times New Roman" w:eastAsia="仿宋_GB2312" w:hAnsi="Times New Roman" w:cs="Times New Roman"/>
          <w:sz w:val="28"/>
          <w:szCs w:val="28"/>
        </w:rPr>
        <w:t>/</w:t>
      </w:r>
      <w:r>
        <w:rPr>
          <w:rFonts w:ascii="Times New Roman" w:eastAsia="仿宋_GB2312" w:hAnsi="Times New Roman" w:cs="Times New Roman"/>
          <w:sz w:val="28"/>
          <w:szCs w:val="28"/>
        </w:rPr>
        <w:t>每飞行小时左右。然而</w:t>
      </w:r>
      <w:r>
        <w:rPr>
          <w:rFonts w:ascii="Times New Roman" w:eastAsia="仿宋_GB2312" w:hAnsi="Times New Roman" w:cs="Times New Roman"/>
          <w:sz w:val="28"/>
          <w:szCs w:val="28"/>
        </w:rPr>
        <w:t>，近年来某些因素提高了故障风险并且局方也关注此类失效状态。</w:t>
      </w:r>
    </w:p>
    <w:p w14:paraId="5FA5563C"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1) </w:t>
      </w:r>
      <w:r>
        <w:rPr>
          <w:rFonts w:ascii="Times New Roman" w:eastAsia="仿宋_GB2312" w:hAnsi="Times New Roman" w:cs="Times New Roman"/>
          <w:sz w:val="28"/>
          <w:szCs w:val="28"/>
        </w:rPr>
        <w:t>通过对</w:t>
      </w:r>
      <w:r>
        <w:rPr>
          <w:rFonts w:ascii="Times New Roman" w:eastAsia="仿宋_GB2312" w:hAnsi="Times New Roman" w:cs="Times New Roman"/>
          <w:sz w:val="28"/>
          <w:szCs w:val="28"/>
        </w:rPr>
        <w:t>UHT</w:t>
      </w:r>
      <w:r>
        <w:rPr>
          <w:rFonts w:ascii="Times New Roman" w:eastAsia="仿宋_GB2312" w:hAnsi="Times New Roman" w:cs="Times New Roman"/>
          <w:sz w:val="28"/>
          <w:szCs w:val="28"/>
        </w:rPr>
        <w:t>失效状态相关事件的研究得出结论：绝大多数飞机存在一些可预知的失效状态，对于这些失效状态，不能依赖机组在故障变成</w:t>
      </w:r>
      <w:r>
        <w:rPr>
          <w:rFonts w:ascii="Times New Roman" w:eastAsia="仿宋_GB2312" w:hAnsi="Times New Roman" w:cs="Times New Roman"/>
          <w:sz w:val="28"/>
          <w:szCs w:val="28"/>
        </w:rPr>
        <w:t>“</w:t>
      </w:r>
      <w:r>
        <w:rPr>
          <w:rFonts w:ascii="Times New Roman" w:eastAsia="仿宋_GB2312" w:hAnsi="Times New Roman" w:cs="Times New Roman"/>
          <w:sz w:val="28"/>
          <w:szCs w:val="28"/>
        </w:rPr>
        <w:t>危险性的</w:t>
      </w:r>
      <w:r>
        <w:rPr>
          <w:rFonts w:ascii="Times New Roman" w:eastAsia="仿宋_GB2312" w:hAnsi="Times New Roman" w:cs="Times New Roman"/>
          <w:sz w:val="28"/>
          <w:szCs w:val="28"/>
        </w:rPr>
        <w:t>”</w:t>
      </w:r>
      <w:r>
        <w:rPr>
          <w:rFonts w:ascii="Times New Roman" w:eastAsia="仿宋_GB2312" w:hAnsi="Times New Roman" w:cs="Times New Roman"/>
          <w:sz w:val="28"/>
          <w:szCs w:val="28"/>
        </w:rPr>
        <w:t>或甚至</w:t>
      </w:r>
      <w:r>
        <w:rPr>
          <w:rFonts w:ascii="Times New Roman" w:eastAsia="仿宋_GB2312" w:hAnsi="Times New Roman" w:cs="Times New Roman"/>
          <w:sz w:val="28"/>
          <w:szCs w:val="28"/>
        </w:rPr>
        <w:t>“</w:t>
      </w:r>
      <w:r>
        <w:rPr>
          <w:rFonts w:ascii="Times New Roman" w:eastAsia="仿宋_GB2312" w:hAnsi="Times New Roman" w:cs="Times New Roman"/>
          <w:sz w:val="28"/>
          <w:szCs w:val="28"/>
        </w:rPr>
        <w:t>灾难性的</w:t>
      </w:r>
      <w:r>
        <w:rPr>
          <w:rFonts w:ascii="Times New Roman" w:eastAsia="仿宋_GB2312" w:hAnsi="Times New Roman" w:cs="Times New Roman"/>
          <w:sz w:val="28"/>
          <w:szCs w:val="28"/>
        </w:rPr>
        <w:t>”</w:t>
      </w:r>
      <w:r>
        <w:rPr>
          <w:rFonts w:ascii="Times New Roman" w:eastAsia="仿宋_GB2312" w:hAnsi="Times New Roman" w:cs="Times New Roman"/>
          <w:sz w:val="28"/>
          <w:szCs w:val="28"/>
        </w:rPr>
        <w:t>之前认知和减缓故障。</w:t>
      </w:r>
    </w:p>
    <w:p w14:paraId="41352CDF"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随着系列飞机</w:t>
      </w:r>
      <w:r>
        <w:rPr>
          <w:rFonts w:ascii="Times New Roman" w:eastAsia="仿宋_GB2312" w:hAnsi="Times New Roman" w:cs="Times New Roman"/>
          <w:sz w:val="28"/>
          <w:szCs w:val="28"/>
        </w:rPr>
        <w:t>/</w:t>
      </w:r>
      <w:r>
        <w:rPr>
          <w:rFonts w:ascii="Times New Roman" w:eastAsia="仿宋_GB2312" w:hAnsi="Times New Roman" w:cs="Times New Roman"/>
          <w:sz w:val="28"/>
          <w:szCs w:val="28"/>
        </w:rPr>
        <w:t>发动机概念的引入，安装在系列飞机上的具有相同发动机控制系统的同</w:t>
      </w:r>
      <w:r>
        <w:rPr>
          <w:rFonts w:ascii="Times New Roman" w:eastAsia="仿宋_GB2312" w:hAnsi="Times New Roman" w:cs="Times New Roman"/>
          <w:sz w:val="28"/>
          <w:szCs w:val="28"/>
        </w:rPr>
        <w:t>“</w:t>
      </w:r>
      <w:r>
        <w:rPr>
          <w:rFonts w:ascii="Times New Roman" w:eastAsia="仿宋_GB2312" w:hAnsi="Times New Roman" w:cs="Times New Roman"/>
          <w:sz w:val="28"/>
          <w:szCs w:val="28"/>
        </w:rPr>
        <w:t>型号</w:t>
      </w:r>
      <w:r>
        <w:rPr>
          <w:rFonts w:ascii="Times New Roman" w:eastAsia="仿宋_GB2312" w:hAnsi="Times New Roman" w:cs="Times New Roman"/>
          <w:sz w:val="28"/>
          <w:szCs w:val="28"/>
        </w:rPr>
        <w:t>”</w:t>
      </w:r>
      <w:r>
        <w:rPr>
          <w:rFonts w:ascii="Times New Roman" w:eastAsia="仿宋_GB2312" w:hAnsi="Times New Roman" w:cs="Times New Roman"/>
          <w:sz w:val="28"/>
          <w:szCs w:val="28"/>
        </w:rPr>
        <w:t>发动机，可在几个推力等级下工作（例如</w:t>
      </w:r>
      <w:r>
        <w:rPr>
          <w:rFonts w:ascii="Times New Roman" w:eastAsia="仿宋_GB2312" w:hAnsi="Times New Roman" w:cs="Times New Roman"/>
          <w:sz w:val="28"/>
          <w:szCs w:val="28"/>
        </w:rPr>
        <w:t xml:space="preserve"> B737-600,-700,-800</w:t>
      </w:r>
      <w:r>
        <w:rPr>
          <w:rFonts w:ascii="Times New Roman" w:eastAsia="仿宋_GB2312" w:hAnsi="Times New Roman" w:cs="Times New Roman"/>
          <w:sz w:val="28"/>
          <w:szCs w:val="28"/>
        </w:rPr>
        <w:t>或</w:t>
      </w:r>
      <w:r>
        <w:rPr>
          <w:rFonts w:ascii="Times New Roman" w:eastAsia="仿宋_GB2312" w:hAnsi="Times New Roman" w:cs="Times New Roman"/>
          <w:sz w:val="28"/>
          <w:szCs w:val="28"/>
        </w:rPr>
        <w:t>A319,A320,A321</w:t>
      </w:r>
      <w:r>
        <w:rPr>
          <w:rFonts w:ascii="Times New Roman" w:eastAsia="仿宋_GB2312" w:hAnsi="Times New Roman" w:cs="Times New Roman"/>
          <w:sz w:val="28"/>
          <w:szCs w:val="28"/>
        </w:rPr>
        <w:t>），在所关注的故障</w:t>
      </w:r>
      <w:r>
        <w:rPr>
          <w:rFonts w:ascii="Times New Roman" w:eastAsia="仿宋_GB2312" w:hAnsi="Times New Roman" w:cs="Times New Roman"/>
          <w:sz w:val="28"/>
          <w:szCs w:val="28"/>
        </w:rPr>
        <w:lastRenderedPageBreak/>
        <w:t>模式下可产生更大的不对称推力。尤其是当最小飞机（使用最低推力</w:t>
      </w:r>
      <w:r>
        <w:rPr>
          <w:rFonts w:ascii="Times New Roman" w:eastAsia="仿宋_GB2312" w:hAnsi="Times New Roman" w:cs="Times New Roman"/>
          <w:sz w:val="28"/>
          <w:szCs w:val="28"/>
        </w:rPr>
        <w:t>等级）上一台发动机以最大燃油流量工作时。最大发动机推力等级的显著增加，自动起飞推力控制系统（</w:t>
      </w:r>
      <w:r>
        <w:rPr>
          <w:rFonts w:ascii="Times New Roman" w:eastAsia="仿宋_GB2312" w:hAnsi="Times New Roman" w:cs="Times New Roman"/>
          <w:sz w:val="28"/>
          <w:szCs w:val="28"/>
        </w:rPr>
        <w:t>ATTCS</w:t>
      </w:r>
      <w:r>
        <w:rPr>
          <w:rFonts w:ascii="Times New Roman" w:eastAsia="仿宋_GB2312" w:hAnsi="Times New Roman" w:cs="Times New Roman"/>
          <w:sz w:val="28"/>
          <w:szCs w:val="28"/>
        </w:rPr>
        <w:t>：</w:t>
      </w:r>
      <w:r>
        <w:rPr>
          <w:rFonts w:ascii="Times New Roman" w:eastAsia="仿宋_GB2312" w:hAnsi="Times New Roman" w:cs="Times New Roman"/>
          <w:sz w:val="28"/>
          <w:szCs w:val="28"/>
        </w:rPr>
        <w:t xml:space="preserve"> Automatic Takeoff Thrust Control System</w:t>
      </w:r>
      <w:r>
        <w:rPr>
          <w:rFonts w:ascii="Times New Roman" w:eastAsia="仿宋_GB2312" w:hAnsi="Times New Roman" w:cs="Times New Roman"/>
          <w:sz w:val="28"/>
          <w:szCs w:val="28"/>
        </w:rPr>
        <w:t>）技术的出现和降级推力运行的流行，都会增加</w:t>
      </w:r>
      <w:proofErr w:type="gramStart"/>
      <w:r>
        <w:rPr>
          <w:rFonts w:ascii="Times New Roman" w:eastAsia="仿宋_GB2312" w:hAnsi="Times New Roman" w:cs="Times New Roman"/>
          <w:sz w:val="28"/>
          <w:szCs w:val="28"/>
        </w:rPr>
        <w:t>不可控高推力</w:t>
      </w:r>
      <w:proofErr w:type="gramEnd"/>
      <w:r>
        <w:rPr>
          <w:rFonts w:ascii="Times New Roman" w:eastAsia="仿宋_GB2312" w:hAnsi="Times New Roman" w:cs="Times New Roman"/>
          <w:sz w:val="28"/>
          <w:szCs w:val="28"/>
        </w:rPr>
        <w:t>的危害。</w:t>
      </w:r>
    </w:p>
    <w:p w14:paraId="572A1CE8"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3) </w:t>
      </w:r>
      <w:r>
        <w:rPr>
          <w:rFonts w:ascii="Times New Roman" w:eastAsia="仿宋_GB2312" w:hAnsi="Times New Roman" w:cs="Times New Roman"/>
          <w:sz w:val="28"/>
          <w:szCs w:val="28"/>
        </w:rPr>
        <w:t>随着航线交通拥堵加剧以及平行滑行道和跑道使用的增加，飞机不可控不平衡推力影响其他飞机、地面支援设备或航站楼的风险也随之提高。</w:t>
      </w:r>
      <w:r>
        <w:rPr>
          <w:rFonts w:ascii="Times New Roman" w:eastAsia="仿宋_GB2312" w:hAnsi="Times New Roman" w:cs="Times New Roman"/>
          <w:sz w:val="28"/>
          <w:szCs w:val="28"/>
        </w:rPr>
        <w:t>CAAC</w:t>
      </w:r>
      <w:r>
        <w:rPr>
          <w:rFonts w:ascii="Times New Roman" w:eastAsia="仿宋_GB2312" w:hAnsi="Times New Roman" w:cs="Times New Roman"/>
          <w:sz w:val="28"/>
          <w:szCs w:val="28"/>
        </w:rPr>
        <w:t>担心某架飞机上的这类故障可能潜在地影响其他多架飞机上、航站楼内的乘客、和</w:t>
      </w:r>
      <w:r>
        <w:rPr>
          <w:rFonts w:ascii="Times New Roman" w:eastAsia="仿宋_GB2312" w:hAnsi="Times New Roman" w:cs="Times New Roman"/>
          <w:sz w:val="28"/>
          <w:szCs w:val="28"/>
        </w:rPr>
        <w:t>/</w:t>
      </w:r>
      <w:r>
        <w:rPr>
          <w:rFonts w:ascii="Times New Roman" w:eastAsia="仿宋_GB2312" w:hAnsi="Times New Roman" w:cs="Times New Roman"/>
          <w:sz w:val="28"/>
          <w:szCs w:val="28"/>
        </w:rPr>
        <w:t>或地面支援设备上的人员。</w:t>
      </w:r>
    </w:p>
    <w:p w14:paraId="6A379422"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UHT</w:t>
      </w:r>
      <w:r>
        <w:rPr>
          <w:rFonts w:ascii="Times New Roman" w:eastAsia="仿宋_GB2312" w:hAnsi="Times New Roman" w:cs="Times New Roman"/>
          <w:sz w:val="28"/>
          <w:szCs w:val="28"/>
        </w:rPr>
        <w:t>相关条款符合性的有效</w:t>
      </w:r>
      <w:r>
        <w:rPr>
          <w:rFonts w:ascii="Times New Roman" w:eastAsia="仿宋_GB2312" w:hAnsi="Times New Roman" w:cs="Times New Roman"/>
          <w:sz w:val="28"/>
          <w:szCs w:val="28"/>
        </w:rPr>
        <w:t>验证方法对传统运输类飞机型号设计的普遍适用性仍是一项挑战。这是一个普遍适用的安全性问题，其应用范围和可行的解决方法，仍在工业界和审查方共同研究之中。如法规中规定的，如果其符合性验证不影响公众利益，其不符合的设计在可接受安全范围内的，那么，</w:t>
      </w:r>
      <w:r>
        <w:rPr>
          <w:rFonts w:ascii="Times New Roman" w:eastAsia="仿宋_GB2312" w:hAnsi="Times New Roman" w:cs="Times New Roman"/>
          <w:sz w:val="28"/>
          <w:szCs w:val="28"/>
        </w:rPr>
        <w:t>CAAC</w:t>
      </w:r>
      <w:r>
        <w:rPr>
          <w:rFonts w:ascii="Times New Roman" w:eastAsia="仿宋_GB2312" w:hAnsi="Times New Roman" w:cs="Times New Roman"/>
          <w:sz w:val="28"/>
          <w:szCs w:val="28"/>
        </w:rPr>
        <w:t>会考虑同意豁免的申请。</w:t>
      </w:r>
    </w:p>
    <w:p w14:paraId="2AA952CA" w14:textId="77777777" w:rsidR="007B463F" w:rsidRDefault="000B6433">
      <w:pPr>
        <w:pStyle w:val="Default"/>
        <w:numPr>
          <w:ilvl w:val="0"/>
          <w:numId w:val="1"/>
        </w:numPr>
        <w:jc w:val="both"/>
        <w:outlineLvl w:val="0"/>
        <w:rPr>
          <w:rFonts w:ascii="Times New Roman" w:hAnsi="Times New Roman" w:cs="Times New Roman"/>
          <w:color w:val="auto"/>
          <w:sz w:val="28"/>
          <w:szCs w:val="28"/>
        </w:rPr>
      </w:pPr>
      <w:r>
        <w:rPr>
          <w:rFonts w:ascii="Times New Roman" w:hAnsi="Times New Roman" w:cs="Times New Roman"/>
          <w:color w:val="auto"/>
          <w:sz w:val="28"/>
          <w:szCs w:val="28"/>
        </w:rPr>
        <w:t>适用范围</w:t>
      </w:r>
    </w:p>
    <w:p w14:paraId="06002703"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kern w:val="0"/>
          <w:sz w:val="28"/>
          <w:szCs w:val="28"/>
        </w:rPr>
        <w:t>AG</w:t>
      </w:r>
      <w:r>
        <w:rPr>
          <w:rFonts w:ascii="Times New Roman" w:eastAsia="仿宋_GB2312" w:hAnsi="Times New Roman" w:cs="Times New Roman"/>
          <w:b/>
          <w:bCs/>
          <w:kern w:val="0"/>
          <w:sz w:val="28"/>
          <w:szCs w:val="28"/>
        </w:rPr>
        <w:t>60</w:t>
      </w:r>
      <w:r>
        <w:rPr>
          <w:rFonts w:ascii="Times New Roman" w:eastAsia="仿宋_GB2312" w:hAnsi="Times New Roman" w:cs="Times New Roman"/>
          <w:kern w:val="0"/>
          <w:sz w:val="28"/>
          <w:szCs w:val="28"/>
        </w:rPr>
        <w:t>0</w:t>
      </w:r>
      <w:r>
        <w:rPr>
          <w:rFonts w:ascii="Times New Roman" w:eastAsia="仿宋_GB2312" w:hAnsi="Times New Roman" w:cs="Times New Roman"/>
          <w:kern w:val="0"/>
          <w:sz w:val="28"/>
          <w:szCs w:val="28"/>
        </w:rPr>
        <w:t>型</w:t>
      </w:r>
      <w:r>
        <w:rPr>
          <w:rFonts w:ascii="Times New Roman" w:eastAsia="仿宋_GB2312" w:hAnsi="Times New Roman" w:cs="Times New Roman"/>
          <w:sz w:val="28"/>
          <w:szCs w:val="28"/>
        </w:rPr>
        <w:t>飞机。</w:t>
      </w:r>
    </w:p>
    <w:p w14:paraId="1E7FB865" w14:textId="77777777" w:rsidR="007B463F" w:rsidRDefault="000B6433">
      <w:pPr>
        <w:pStyle w:val="Default"/>
        <w:numPr>
          <w:ilvl w:val="0"/>
          <w:numId w:val="1"/>
        </w:numPr>
        <w:jc w:val="both"/>
        <w:outlineLvl w:val="0"/>
        <w:rPr>
          <w:rFonts w:ascii="Times New Roman" w:hAnsi="Times New Roman" w:cs="Times New Roman"/>
          <w:color w:val="auto"/>
          <w:sz w:val="28"/>
          <w:szCs w:val="28"/>
        </w:rPr>
      </w:pPr>
      <w:r>
        <w:rPr>
          <w:rFonts w:ascii="Times New Roman" w:hAnsi="Times New Roman" w:cs="Times New Roman"/>
          <w:color w:val="auto"/>
          <w:kern w:val="2"/>
          <w:sz w:val="28"/>
          <w:szCs w:val="28"/>
        </w:rPr>
        <w:t>申</w:t>
      </w:r>
      <w:r>
        <w:rPr>
          <w:rFonts w:ascii="Times New Roman" w:hAnsi="Times New Roman" w:cs="Times New Roman"/>
          <w:color w:val="auto"/>
          <w:sz w:val="28"/>
          <w:szCs w:val="28"/>
        </w:rPr>
        <w:t>请豁免原因</w:t>
      </w:r>
    </w:p>
    <w:p w14:paraId="2C53FDEE" w14:textId="77777777" w:rsidR="007B463F" w:rsidRDefault="000B6433">
      <w:pPr>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AG600</w:t>
      </w:r>
      <w:r>
        <w:rPr>
          <w:rFonts w:ascii="Times New Roman" w:eastAsia="仿宋_GB2312" w:hAnsi="Times New Roman" w:cs="Times New Roman"/>
          <w:kern w:val="0"/>
          <w:sz w:val="28"/>
          <w:szCs w:val="28"/>
        </w:rPr>
        <w:t>飞机</w:t>
      </w:r>
      <w:r>
        <w:rPr>
          <w:rFonts w:ascii="Times New Roman" w:eastAsia="仿宋_GB2312" w:hAnsi="Times New Roman" w:cs="Times New Roman"/>
          <w:kern w:val="0"/>
          <w:sz w:val="28"/>
          <w:szCs w:val="28"/>
        </w:rPr>
        <w:t>/WJ6</w:t>
      </w:r>
      <w:r>
        <w:rPr>
          <w:rFonts w:ascii="Times New Roman" w:eastAsia="仿宋_GB2312" w:hAnsi="Times New Roman" w:cs="Times New Roman"/>
          <w:kern w:val="0"/>
          <w:sz w:val="28"/>
          <w:szCs w:val="28"/>
        </w:rPr>
        <w:t>发动机在某些起飞和着陆场景中发生</w:t>
      </w:r>
      <w:proofErr w:type="gramStart"/>
      <w:r>
        <w:rPr>
          <w:rFonts w:ascii="Times New Roman" w:eastAsia="仿宋_GB2312" w:hAnsi="Times New Roman" w:cs="Times New Roman"/>
          <w:kern w:val="0"/>
          <w:sz w:val="28"/>
          <w:szCs w:val="28"/>
        </w:rPr>
        <w:t>不可控高推力</w:t>
      </w:r>
      <w:proofErr w:type="gramEnd"/>
      <w:r>
        <w:rPr>
          <w:rFonts w:ascii="Times New Roman" w:eastAsia="仿宋_GB2312" w:hAnsi="Times New Roman" w:cs="Times New Roman"/>
          <w:kern w:val="0"/>
          <w:sz w:val="28"/>
          <w:szCs w:val="28"/>
        </w:rPr>
        <w:t>（功率）（</w:t>
      </w:r>
      <w:r>
        <w:rPr>
          <w:rFonts w:ascii="Times New Roman" w:eastAsia="仿宋_GB2312" w:hAnsi="Times New Roman" w:cs="Times New Roman"/>
          <w:kern w:val="0"/>
          <w:sz w:val="28"/>
          <w:szCs w:val="28"/>
        </w:rPr>
        <w:t>UHT</w:t>
      </w:r>
      <w:r>
        <w:rPr>
          <w:rFonts w:ascii="Times New Roman" w:eastAsia="仿宋_GB2312" w:hAnsi="Times New Roman" w:cs="Times New Roman"/>
          <w:kern w:val="0"/>
          <w:sz w:val="28"/>
          <w:szCs w:val="28"/>
        </w:rPr>
        <w:t>）故障预期可能存在灾难性影响，无法完全满足</w:t>
      </w:r>
      <w:r>
        <w:rPr>
          <w:rFonts w:ascii="Times New Roman" w:eastAsia="仿宋_GB2312" w:hAnsi="Times New Roman" w:cs="Times New Roman"/>
          <w:kern w:val="0"/>
          <w:sz w:val="28"/>
          <w:szCs w:val="28"/>
        </w:rPr>
        <w:t>CCAR25.901(c)“</w:t>
      </w:r>
      <w:r>
        <w:rPr>
          <w:rFonts w:ascii="Times New Roman" w:eastAsia="仿宋_GB2312" w:hAnsi="Times New Roman" w:cs="Times New Roman"/>
          <w:kern w:val="0"/>
          <w:sz w:val="28"/>
          <w:szCs w:val="28"/>
        </w:rPr>
        <w:t>对于动力装置和辅助动力装置的安装，必须确认任何单个失效或故障或可能的失效组合都不会危及飞机的安全运行</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的要求。</w:t>
      </w:r>
    </w:p>
    <w:p w14:paraId="387F730F"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kern w:val="0"/>
          <w:sz w:val="28"/>
          <w:szCs w:val="28"/>
        </w:rPr>
        <w:lastRenderedPageBreak/>
        <w:t>由于工业水平的限制，</w:t>
      </w:r>
      <w:r>
        <w:rPr>
          <w:rFonts w:ascii="Times New Roman" w:eastAsia="仿宋_GB2312" w:hAnsi="Times New Roman" w:cs="Times New Roman"/>
          <w:kern w:val="0"/>
          <w:sz w:val="28"/>
          <w:szCs w:val="28"/>
        </w:rPr>
        <w:t>AG600</w:t>
      </w:r>
      <w:r>
        <w:rPr>
          <w:rFonts w:ascii="Times New Roman" w:eastAsia="仿宋_GB2312" w:hAnsi="Times New Roman" w:cs="Times New Roman"/>
          <w:kern w:val="0"/>
          <w:sz w:val="28"/>
          <w:szCs w:val="28"/>
        </w:rPr>
        <w:t>飞机无法满足</w:t>
      </w:r>
      <w:r>
        <w:rPr>
          <w:rFonts w:ascii="Times New Roman" w:eastAsia="仿宋_GB2312" w:hAnsi="Times New Roman" w:cs="Times New Roman"/>
          <w:kern w:val="0"/>
          <w:sz w:val="28"/>
          <w:szCs w:val="28"/>
        </w:rPr>
        <w:t>CCAR25.901(c)</w:t>
      </w:r>
      <w:r>
        <w:rPr>
          <w:rFonts w:ascii="Times New Roman" w:eastAsia="仿宋_GB2312" w:hAnsi="Times New Roman" w:cs="Times New Roman"/>
          <w:kern w:val="0"/>
          <w:sz w:val="28"/>
          <w:szCs w:val="28"/>
        </w:rPr>
        <w:t>关于发动机</w:t>
      </w:r>
      <w:r>
        <w:rPr>
          <w:rFonts w:ascii="Times New Roman" w:eastAsia="仿宋_GB2312" w:hAnsi="Times New Roman" w:cs="Times New Roman"/>
          <w:kern w:val="0"/>
          <w:sz w:val="28"/>
          <w:szCs w:val="28"/>
        </w:rPr>
        <w:t>UHT</w:t>
      </w:r>
      <w:r>
        <w:rPr>
          <w:rFonts w:ascii="Times New Roman" w:eastAsia="仿宋_GB2312" w:hAnsi="Times New Roman" w:cs="Times New Roman"/>
          <w:kern w:val="0"/>
          <w:sz w:val="28"/>
          <w:szCs w:val="28"/>
        </w:rPr>
        <w:t>单点故障的要求。局方针对该要求普遍采用豁免的方法。故申请人提出了</w:t>
      </w:r>
      <w:r>
        <w:rPr>
          <w:rFonts w:ascii="Times New Roman" w:eastAsia="仿宋_GB2312" w:hAnsi="Times New Roman" w:cs="Times New Roman"/>
          <w:kern w:val="0"/>
          <w:sz w:val="28"/>
          <w:szCs w:val="28"/>
        </w:rPr>
        <w:t>AG600</w:t>
      </w:r>
      <w:r>
        <w:rPr>
          <w:rFonts w:ascii="Times New Roman" w:eastAsia="仿宋_GB2312" w:hAnsi="Times New Roman" w:cs="Times New Roman"/>
          <w:kern w:val="0"/>
          <w:sz w:val="28"/>
          <w:szCs w:val="28"/>
        </w:rPr>
        <w:t>型飞机对发动机</w:t>
      </w:r>
      <w:r>
        <w:rPr>
          <w:rFonts w:ascii="Times New Roman" w:eastAsia="仿宋_GB2312" w:hAnsi="Times New Roman" w:cs="Times New Roman"/>
          <w:kern w:val="0"/>
          <w:sz w:val="28"/>
          <w:szCs w:val="28"/>
        </w:rPr>
        <w:t>UHT</w:t>
      </w:r>
      <w:r>
        <w:rPr>
          <w:rFonts w:ascii="Times New Roman" w:eastAsia="仿宋_GB2312" w:hAnsi="Times New Roman" w:cs="Times New Roman"/>
          <w:kern w:val="0"/>
          <w:sz w:val="28"/>
          <w:szCs w:val="28"/>
        </w:rPr>
        <w:t>对</w:t>
      </w:r>
      <w:r>
        <w:rPr>
          <w:rFonts w:ascii="Times New Roman" w:eastAsia="仿宋_GB2312" w:hAnsi="Times New Roman" w:cs="Times New Roman"/>
          <w:kern w:val="0"/>
          <w:sz w:val="28"/>
          <w:szCs w:val="28"/>
        </w:rPr>
        <w:t>CCAR25.901(c)</w:t>
      </w:r>
      <w:r>
        <w:rPr>
          <w:rFonts w:ascii="Times New Roman" w:eastAsia="仿宋_GB2312" w:hAnsi="Times New Roman" w:cs="Times New Roman"/>
          <w:kern w:val="0"/>
          <w:sz w:val="28"/>
          <w:szCs w:val="28"/>
        </w:rPr>
        <w:t>部分豁免申请。</w:t>
      </w:r>
    </w:p>
    <w:p w14:paraId="4F0EFD7E" w14:textId="77777777" w:rsidR="007B463F" w:rsidRDefault="000B6433">
      <w:pPr>
        <w:pStyle w:val="Default"/>
        <w:numPr>
          <w:ilvl w:val="0"/>
          <w:numId w:val="1"/>
        </w:numPr>
        <w:jc w:val="both"/>
        <w:outlineLvl w:val="0"/>
        <w:rPr>
          <w:rFonts w:ascii="Times New Roman" w:hAnsi="Times New Roman" w:cs="Times New Roman"/>
          <w:color w:val="auto"/>
          <w:sz w:val="28"/>
          <w:szCs w:val="28"/>
        </w:rPr>
      </w:pPr>
      <w:r>
        <w:rPr>
          <w:rFonts w:ascii="Times New Roman" w:hAnsi="Times New Roman" w:cs="Times New Roman"/>
          <w:color w:val="auto"/>
          <w:sz w:val="28"/>
          <w:szCs w:val="28"/>
        </w:rPr>
        <w:t>适航性和安全性影响</w:t>
      </w:r>
    </w:p>
    <w:p w14:paraId="3B3834F4" w14:textId="77777777" w:rsidR="007B463F" w:rsidRDefault="000B6433">
      <w:pPr>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申请人</w:t>
      </w:r>
      <w:r>
        <w:rPr>
          <w:rFonts w:ascii="Times New Roman" w:eastAsia="仿宋_GB2312" w:hAnsi="Times New Roman" w:cs="Times New Roman"/>
          <w:kern w:val="0"/>
          <w:sz w:val="28"/>
          <w:szCs w:val="28"/>
        </w:rPr>
        <w:t>认为，虽然申请豁免</w:t>
      </w:r>
      <w:r>
        <w:rPr>
          <w:rFonts w:ascii="Times New Roman" w:eastAsia="仿宋_GB2312" w:hAnsi="Times New Roman" w:cs="Times New Roman"/>
          <w:kern w:val="0"/>
          <w:sz w:val="28"/>
          <w:szCs w:val="28"/>
        </w:rPr>
        <w:t>CCAR25.901(c)</w:t>
      </w:r>
      <w:r>
        <w:rPr>
          <w:rFonts w:ascii="Times New Roman" w:eastAsia="仿宋_GB2312" w:hAnsi="Times New Roman" w:cs="Times New Roman"/>
          <w:kern w:val="0"/>
          <w:sz w:val="28"/>
          <w:szCs w:val="28"/>
        </w:rPr>
        <w:t>有关发动机</w:t>
      </w:r>
      <w:r>
        <w:rPr>
          <w:rFonts w:ascii="Times New Roman" w:eastAsia="仿宋_GB2312" w:hAnsi="Times New Roman" w:cs="Times New Roman"/>
          <w:kern w:val="0"/>
          <w:sz w:val="28"/>
          <w:szCs w:val="28"/>
        </w:rPr>
        <w:t>UHT</w:t>
      </w:r>
      <w:r>
        <w:rPr>
          <w:rFonts w:ascii="Times New Roman" w:eastAsia="仿宋_GB2312" w:hAnsi="Times New Roman" w:cs="Times New Roman"/>
          <w:kern w:val="0"/>
          <w:sz w:val="28"/>
          <w:szCs w:val="28"/>
        </w:rPr>
        <w:t>的内容，但其符合性验证不影响公众利益，其不符合的设计在可接受安全范围内，具体如下：</w:t>
      </w:r>
    </w:p>
    <w:p w14:paraId="3FACAD68" w14:textId="77777777" w:rsidR="007B463F" w:rsidRDefault="000B6433">
      <w:pPr>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申请人对</w:t>
      </w:r>
      <w:r>
        <w:rPr>
          <w:rFonts w:ascii="Times New Roman" w:eastAsia="仿宋_GB2312" w:hAnsi="Times New Roman" w:cs="Times New Roman"/>
          <w:kern w:val="0"/>
          <w:sz w:val="28"/>
          <w:szCs w:val="28"/>
        </w:rPr>
        <w:t>AG600</w:t>
      </w:r>
      <w:r>
        <w:rPr>
          <w:rFonts w:ascii="Times New Roman" w:eastAsia="仿宋_GB2312" w:hAnsi="Times New Roman" w:cs="Times New Roman"/>
          <w:kern w:val="0"/>
          <w:sz w:val="28"/>
          <w:szCs w:val="28"/>
        </w:rPr>
        <w:t>型飞机按照发动机</w:t>
      </w:r>
      <w:r>
        <w:rPr>
          <w:rFonts w:ascii="Times New Roman" w:eastAsia="仿宋_GB2312" w:hAnsi="Times New Roman" w:cs="Times New Roman"/>
          <w:kern w:val="0"/>
          <w:sz w:val="28"/>
          <w:szCs w:val="28"/>
        </w:rPr>
        <w:t>UHT</w:t>
      </w:r>
      <w:r>
        <w:rPr>
          <w:rFonts w:ascii="Times New Roman" w:eastAsia="仿宋_GB2312" w:hAnsi="Times New Roman" w:cs="Times New Roman"/>
          <w:kern w:val="0"/>
          <w:sz w:val="28"/>
          <w:szCs w:val="28"/>
        </w:rPr>
        <w:t>部分豁免问题纪要要求，完成了如下工作：</w:t>
      </w:r>
    </w:p>
    <w:p w14:paraId="1AD42A43" w14:textId="77777777" w:rsidR="007B463F" w:rsidRDefault="000B6433">
      <w:pPr>
        <w:pStyle w:val="ad"/>
        <w:numPr>
          <w:ilvl w:val="0"/>
          <w:numId w:val="2"/>
        </w:numPr>
        <w:tabs>
          <w:tab w:val="left" w:pos="993"/>
        </w:tabs>
        <w:ind w:left="993" w:firstLineChars="0" w:hanging="437"/>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采取了所有可行性措施来减小因</w:t>
      </w:r>
      <w:r>
        <w:rPr>
          <w:rFonts w:ascii="Times New Roman" w:eastAsia="仿宋_GB2312" w:hAnsi="Times New Roman" w:cs="Times New Roman"/>
          <w:kern w:val="0"/>
          <w:sz w:val="28"/>
          <w:szCs w:val="28"/>
        </w:rPr>
        <w:t>CCAR25.901(c)</w:t>
      </w:r>
      <w:r>
        <w:rPr>
          <w:rFonts w:ascii="Times New Roman" w:eastAsia="仿宋_GB2312" w:hAnsi="Times New Roman" w:cs="Times New Roman"/>
          <w:kern w:val="0"/>
          <w:sz w:val="28"/>
          <w:szCs w:val="28"/>
        </w:rPr>
        <w:t>有关</w:t>
      </w:r>
      <w:r>
        <w:rPr>
          <w:rFonts w:ascii="Times New Roman" w:eastAsia="仿宋_GB2312" w:hAnsi="Times New Roman" w:cs="Times New Roman"/>
          <w:kern w:val="0"/>
          <w:sz w:val="28"/>
          <w:szCs w:val="28"/>
        </w:rPr>
        <w:t>UHT</w:t>
      </w:r>
      <w:r>
        <w:rPr>
          <w:rFonts w:ascii="Times New Roman" w:eastAsia="仿宋_GB2312" w:hAnsi="Times New Roman" w:cs="Times New Roman"/>
          <w:kern w:val="0"/>
          <w:sz w:val="28"/>
          <w:szCs w:val="28"/>
        </w:rPr>
        <w:t>部分豁免而对飞行安全造成负面影响。这些措施包括但不仅限于：持续性适航程序、培训和说明。</w:t>
      </w:r>
    </w:p>
    <w:p w14:paraId="616C7616" w14:textId="77777777" w:rsidR="007B463F" w:rsidRDefault="000B6433">
      <w:pPr>
        <w:pStyle w:val="ad"/>
        <w:numPr>
          <w:ilvl w:val="0"/>
          <w:numId w:val="2"/>
        </w:numPr>
        <w:tabs>
          <w:tab w:val="left" w:pos="993"/>
        </w:tabs>
        <w:ind w:left="993" w:firstLineChars="0" w:hanging="433"/>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将</w:t>
      </w:r>
      <w:r>
        <w:rPr>
          <w:rFonts w:ascii="Times New Roman" w:eastAsia="仿宋_GB2312" w:hAnsi="Times New Roman" w:cs="Times New Roman"/>
          <w:kern w:val="0"/>
          <w:sz w:val="28"/>
          <w:szCs w:val="28"/>
        </w:rPr>
        <w:t>AG600</w:t>
      </w:r>
      <w:r>
        <w:rPr>
          <w:rFonts w:ascii="Times New Roman" w:eastAsia="仿宋_GB2312" w:hAnsi="Times New Roman" w:cs="Times New Roman"/>
          <w:kern w:val="0"/>
          <w:sz w:val="28"/>
          <w:szCs w:val="28"/>
        </w:rPr>
        <w:t>型飞机</w:t>
      </w:r>
      <w:r>
        <w:rPr>
          <w:rFonts w:ascii="Times New Roman" w:eastAsia="仿宋_GB2312" w:hAnsi="Times New Roman" w:cs="Times New Roman"/>
          <w:kern w:val="0"/>
          <w:sz w:val="28"/>
          <w:szCs w:val="28"/>
        </w:rPr>
        <w:t>/WJ6</w:t>
      </w:r>
      <w:r>
        <w:rPr>
          <w:rFonts w:ascii="Times New Roman" w:eastAsia="仿宋_GB2312" w:hAnsi="Times New Roman" w:cs="Times New Roman"/>
          <w:kern w:val="0"/>
          <w:sz w:val="28"/>
          <w:szCs w:val="28"/>
        </w:rPr>
        <w:t>发动机的</w:t>
      </w:r>
      <w:r>
        <w:rPr>
          <w:rFonts w:ascii="Times New Roman" w:eastAsia="仿宋_GB2312" w:hAnsi="Times New Roman" w:cs="Times New Roman"/>
          <w:kern w:val="0"/>
          <w:sz w:val="28"/>
          <w:szCs w:val="28"/>
        </w:rPr>
        <w:t>UHT</w:t>
      </w:r>
      <w:r>
        <w:rPr>
          <w:rFonts w:ascii="Times New Roman" w:eastAsia="仿宋_GB2312" w:hAnsi="Times New Roman" w:cs="Times New Roman"/>
          <w:kern w:val="0"/>
          <w:sz w:val="28"/>
          <w:szCs w:val="28"/>
        </w:rPr>
        <w:t>故障相关的风险控制在可接受的水平，即：</w:t>
      </w:r>
    </w:p>
    <w:p w14:paraId="7203118F" w14:textId="77777777" w:rsidR="007B463F" w:rsidRDefault="000B6433">
      <w:pPr>
        <w:pStyle w:val="ad"/>
        <w:numPr>
          <w:ilvl w:val="0"/>
          <w:numId w:val="3"/>
        </w:numPr>
        <w:ind w:left="1418" w:firstLineChars="0" w:hanging="425"/>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除飞机距地面高度低于</w:t>
      </w:r>
      <w:r>
        <w:rPr>
          <w:rFonts w:ascii="Times New Roman" w:eastAsia="仿宋_GB2312" w:hAnsi="Times New Roman" w:cs="Times New Roman"/>
          <w:kern w:val="0"/>
          <w:sz w:val="28"/>
          <w:szCs w:val="28"/>
        </w:rPr>
        <w:t>400</w:t>
      </w:r>
      <w:r>
        <w:rPr>
          <w:rFonts w:ascii="Times New Roman" w:eastAsia="仿宋_GB2312" w:hAnsi="Times New Roman" w:cs="Times New Roman"/>
          <w:kern w:val="0"/>
          <w:sz w:val="28"/>
          <w:szCs w:val="28"/>
        </w:rPr>
        <w:t>英尺之外，飞行中出现的任何可预见的</w:t>
      </w:r>
      <w:r>
        <w:rPr>
          <w:rFonts w:ascii="Times New Roman" w:eastAsia="仿宋_GB2312" w:hAnsi="Times New Roman" w:cs="Times New Roman"/>
          <w:kern w:val="0"/>
          <w:sz w:val="28"/>
          <w:szCs w:val="28"/>
        </w:rPr>
        <w:t>UHT</w:t>
      </w:r>
      <w:r>
        <w:rPr>
          <w:rFonts w:ascii="Times New Roman" w:eastAsia="仿宋_GB2312" w:hAnsi="Times New Roman" w:cs="Times New Roman"/>
          <w:kern w:val="0"/>
          <w:sz w:val="28"/>
          <w:szCs w:val="28"/>
        </w:rPr>
        <w:t>故障应符合所有的适航条例，并且：</w:t>
      </w:r>
    </w:p>
    <w:p w14:paraId="51116B01" w14:textId="77777777" w:rsidR="007B463F" w:rsidRDefault="000B6433">
      <w:pPr>
        <w:pStyle w:val="ad"/>
        <w:numPr>
          <w:ilvl w:val="0"/>
          <w:numId w:val="3"/>
        </w:numPr>
        <w:ind w:left="1418" w:firstLineChars="0" w:hanging="425"/>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AG600</w:t>
      </w:r>
      <w:r>
        <w:rPr>
          <w:rFonts w:ascii="Times New Roman" w:eastAsia="仿宋_GB2312" w:hAnsi="Times New Roman" w:cs="Times New Roman"/>
          <w:kern w:val="0"/>
          <w:sz w:val="28"/>
          <w:szCs w:val="28"/>
        </w:rPr>
        <w:t>型飞机</w:t>
      </w:r>
      <w:r>
        <w:rPr>
          <w:rFonts w:ascii="Times New Roman" w:eastAsia="仿宋_GB2312" w:hAnsi="Times New Roman" w:cs="Times New Roman"/>
          <w:kern w:val="0"/>
          <w:sz w:val="28"/>
          <w:szCs w:val="28"/>
        </w:rPr>
        <w:t>/WJ6</w:t>
      </w:r>
      <w:r>
        <w:rPr>
          <w:rFonts w:ascii="Times New Roman" w:eastAsia="仿宋_GB2312" w:hAnsi="Times New Roman" w:cs="Times New Roman"/>
          <w:kern w:val="0"/>
          <w:sz w:val="28"/>
          <w:szCs w:val="28"/>
        </w:rPr>
        <w:t>发动机发生</w:t>
      </w:r>
      <w:r>
        <w:rPr>
          <w:rFonts w:ascii="Times New Roman" w:eastAsia="仿宋_GB2312" w:hAnsi="Times New Roman" w:cs="Times New Roman"/>
          <w:kern w:val="0"/>
          <w:sz w:val="28"/>
          <w:szCs w:val="28"/>
        </w:rPr>
        <w:t>UHT</w:t>
      </w:r>
      <w:r>
        <w:rPr>
          <w:rFonts w:ascii="Times New Roman" w:eastAsia="仿宋_GB2312" w:hAnsi="Times New Roman" w:cs="Times New Roman"/>
          <w:kern w:val="0"/>
          <w:sz w:val="28"/>
          <w:szCs w:val="28"/>
        </w:rPr>
        <w:t>故障概率不大于</w:t>
      </w:r>
      <w:r>
        <w:rPr>
          <w:rFonts w:ascii="Times New Roman" w:eastAsia="仿宋_GB2312" w:hAnsi="Times New Roman" w:cs="Times New Roman"/>
          <w:kern w:val="0"/>
          <w:sz w:val="28"/>
          <w:szCs w:val="28"/>
        </w:rPr>
        <w:t>1×10</w:t>
      </w:r>
      <w:r>
        <w:rPr>
          <w:rFonts w:ascii="Times New Roman" w:eastAsia="仿宋_GB2312" w:hAnsi="Times New Roman" w:cs="Times New Roman"/>
          <w:kern w:val="0"/>
          <w:sz w:val="28"/>
          <w:szCs w:val="28"/>
          <w:vertAlign w:val="superscript"/>
        </w:rPr>
        <w:t>-7</w:t>
      </w:r>
      <w:r>
        <w:rPr>
          <w:rFonts w:ascii="Times New Roman" w:eastAsia="仿宋_GB2312" w:hAnsi="Times New Roman" w:cs="Times New Roman"/>
          <w:kern w:val="0"/>
          <w:sz w:val="28"/>
          <w:szCs w:val="28"/>
        </w:rPr>
        <w:t>。</w:t>
      </w:r>
    </w:p>
    <w:p w14:paraId="419C8650" w14:textId="77777777" w:rsidR="007B463F" w:rsidRDefault="000B6433">
      <w:pPr>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同时，</w:t>
      </w:r>
      <w:r>
        <w:rPr>
          <w:rFonts w:ascii="Times New Roman" w:eastAsia="仿宋_GB2312" w:hAnsi="Times New Roman" w:cs="Times New Roman"/>
          <w:kern w:val="0"/>
          <w:sz w:val="28"/>
          <w:szCs w:val="28"/>
        </w:rPr>
        <w:t>AG600</w:t>
      </w:r>
      <w:r>
        <w:rPr>
          <w:rFonts w:ascii="Times New Roman" w:eastAsia="仿宋_GB2312" w:hAnsi="Times New Roman" w:cs="Times New Roman"/>
          <w:kern w:val="0"/>
          <w:sz w:val="28"/>
          <w:szCs w:val="28"/>
        </w:rPr>
        <w:t>飞机</w:t>
      </w:r>
      <w:r>
        <w:rPr>
          <w:rFonts w:ascii="Times New Roman" w:eastAsia="仿宋_GB2312" w:hAnsi="Times New Roman" w:cs="Times New Roman"/>
          <w:kern w:val="0"/>
          <w:sz w:val="28"/>
          <w:szCs w:val="28"/>
        </w:rPr>
        <w:t>/WJ6</w:t>
      </w:r>
      <w:r>
        <w:rPr>
          <w:rFonts w:ascii="Times New Roman" w:eastAsia="仿宋_GB2312" w:hAnsi="Times New Roman" w:cs="Times New Roman"/>
          <w:kern w:val="0"/>
          <w:sz w:val="28"/>
          <w:szCs w:val="28"/>
        </w:rPr>
        <w:t>发动机无超速保护功能和反推装置的设计特征，申请人对</w:t>
      </w:r>
      <w:r>
        <w:rPr>
          <w:rFonts w:ascii="Times New Roman" w:eastAsia="仿宋_GB2312" w:hAnsi="Times New Roman" w:cs="Times New Roman"/>
          <w:kern w:val="0"/>
          <w:sz w:val="28"/>
          <w:szCs w:val="28"/>
        </w:rPr>
        <w:t>UHT</w:t>
      </w:r>
      <w:r>
        <w:rPr>
          <w:rFonts w:ascii="Times New Roman" w:eastAsia="仿宋_GB2312" w:hAnsi="Times New Roman" w:cs="Times New Roman"/>
          <w:kern w:val="0"/>
          <w:sz w:val="28"/>
          <w:szCs w:val="28"/>
        </w:rPr>
        <w:t>故障场景指导意见全部</w:t>
      </w:r>
      <w:r>
        <w:rPr>
          <w:rFonts w:ascii="Times New Roman" w:eastAsia="仿宋_GB2312" w:hAnsi="Times New Roman" w:cs="Times New Roman"/>
          <w:kern w:val="0"/>
          <w:sz w:val="28"/>
          <w:szCs w:val="28"/>
        </w:rPr>
        <w:t>9</w:t>
      </w:r>
      <w:r>
        <w:rPr>
          <w:rFonts w:ascii="Times New Roman" w:eastAsia="仿宋_GB2312" w:hAnsi="Times New Roman" w:cs="Times New Roman"/>
          <w:kern w:val="0"/>
          <w:sz w:val="28"/>
          <w:szCs w:val="28"/>
        </w:rPr>
        <w:t>个场景中的</w:t>
      </w:r>
      <w:r>
        <w:rPr>
          <w:rFonts w:ascii="Times New Roman" w:eastAsia="仿宋_GB2312" w:hAnsi="Times New Roman" w:cs="Times New Roman"/>
          <w:kern w:val="0"/>
          <w:sz w:val="28"/>
          <w:szCs w:val="28"/>
        </w:rPr>
        <w:t>7</w:t>
      </w:r>
      <w:r>
        <w:rPr>
          <w:rFonts w:ascii="Times New Roman" w:eastAsia="仿宋_GB2312" w:hAnsi="Times New Roman" w:cs="Times New Roman"/>
          <w:kern w:val="0"/>
          <w:sz w:val="28"/>
          <w:szCs w:val="28"/>
        </w:rPr>
        <w:t>个场景（不包括复飞场景</w:t>
      </w:r>
      <w:r>
        <w:rPr>
          <w:rFonts w:ascii="Times New Roman" w:eastAsia="仿宋_GB2312" w:hAnsi="Times New Roman" w:cs="Times New Roman"/>
          <w:kern w:val="0"/>
          <w:sz w:val="28"/>
          <w:szCs w:val="28"/>
        </w:rPr>
        <w:t>#3</w:t>
      </w:r>
      <w:r>
        <w:rPr>
          <w:rFonts w:ascii="Times New Roman" w:eastAsia="仿宋_GB2312" w:hAnsi="Times New Roman" w:cs="Times New Roman"/>
          <w:kern w:val="0"/>
          <w:sz w:val="28"/>
          <w:szCs w:val="28"/>
        </w:rPr>
        <w:t>：发动机超速保护工作和着陆场景</w:t>
      </w:r>
      <w:r>
        <w:rPr>
          <w:rFonts w:ascii="Times New Roman" w:eastAsia="仿宋_GB2312" w:hAnsi="Times New Roman" w:cs="Times New Roman"/>
          <w:kern w:val="0"/>
          <w:sz w:val="28"/>
          <w:szCs w:val="28"/>
        </w:rPr>
        <w:t>#4</w:t>
      </w:r>
      <w:r>
        <w:rPr>
          <w:rFonts w:ascii="Times New Roman" w:eastAsia="仿宋_GB2312" w:hAnsi="Times New Roman" w:cs="Times New Roman"/>
          <w:kern w:val="0"/>
          <w:sz w:val="28"/>
          <w:szCs w:val="28"/>
        </w:rPr>
        <w:t>：反推装</w:t>
      </w:r>
      <w:r>
        <w:rPr>
          <w:rFonts w:ascii="Times New Roman" w:eastAsia="仿宋_GB2312" w:hAnsi="Times New Roman" w:cs="Times New Roman"/>
          <w:kern w:val="0"/>
          <w:sz w:val="28"/>
          <w:szCs w:val="28"/>
        </w:rPr>
        <w:lastRenderedPageBreak/>
        <w:t>置故障）均按照导致灾难性后果申请豁免。</w:t>
      </w:r>
    </w:p>
    <w:p w14:paraId="2547FEF7" w14:textId="77777777" w:rsidR="007B463F" w:rsidRDefault="000B6433">
      <w:pPr>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申请人向</w:t>
      </w:r>
      <w:r>
        <w:rPr>
          <w:rFonts w:ascii="Times New Roman" w:eastAsia="仿宋_GB2312" w:hAnsi="Times New Roman" w:cs="Times New Roman"/>
          <w:kern w:val="0"/>
          <w:sz w:val="28"/>
          <w:szCs w:val="28"/>
        </w:rPr>
        <w:t>CAAC</w:t>
      </w:r>
      <w:r>
        <w:rPr>
          <w:rFonts w:ascii="Times New Roman" w:eastAsia="仿宋_GB2312" w:hAnsi="Times New Roman" w:cs="Times New Roman"/>
          <w:kern w:val="0"/>
          <w:sz w:val="28"/>
          <w:szCs w:val="28"/>
        </w:rPr>
        <w:t>提交了引起</w:t>
      </w:r>
      <w:r>
        <w:rPr>
          <w:rFonts w:ascii="Times New Roman" w:eastAsia="仿宋_GB2312" w:hAnsi="Times New Roman" w:cs="Times New Roman"/>
          <w:kern w:val="0"/>
          <w:sz w:val="28"/>
          <w:szCs w:val="28"/>
        </w:rPr>
        <w:t>UHT</w:t>
      </w:r>
      <w:r>
        <w:rPr>
          <w:rFonts w:ascii="Times New Roman" w:eastAsia="仿宋_GB2312" w:hAnsi="Times New Roman" w:cs="Times New Roman"/>
          <w:kern w:val="0"/>
          <w:sz w:val="28"/>
          <w:szCs w:val="28"/>
        </w:rPr>
        <w:t>故障的失效状态的说明文件。这份文件将作为持续适航说明文件的一部分。</w:t>
      </w:r>
    </w:p>
    <w:p w14:paraId="7EA9723C" w14:textId="77777777" w:rsidR="007B463F" w:rsidRDefault="000B6433">
      <w:pPr>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申请人针对发动机</w:t>
      </w:r>
      <w:r>
        <w:rPr>
          <w:rFonts w:ascii="Times New Roman" w:eastAsia="仿宋_GB2312" w:hAnsi="Times New Roman" w:cs="Times New Roman"/>
          <w:kern w:val="0"/>
          <w:sz w:val="28"/>
          <w:szCs w:val="28"/>
        </w:rPr>
        <w:t>UHT</w:t>
      </w:r>
      <w:r>
        <w:rPr>
          <w:rFonts w:ascii="Times New Roman" w:eastAsia="仿宋_GB2312" w:hAnsi="Times New Roman" w:cs="Times New Roman"/>
          <w:kern w:val="0"/>
          <w:sz w:val="28"/>
          <w:szCs w:val="28"/>
        </w:rPr>
        <w:t>建立了相应的《适航评估和风险管理计划》。</w:t>
      </w:r>
    </w:p>
    <w:p w14:paraId="5456B0A6" w14:textId="77777777" w:rsidR="007B463F" w:rsidRDefault="000B6433">
      <w:pPr>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综上，</w:t>
      </w:r>
      <w:r>
        <w:rPr>
          <w:rFonts w:ascii="Times New Roman" w:eastAsia="仿宋_GB2312" w:hAnsi="Times New Roman" w:cs="Times New Roman"/>
          <w:kern w:val="0"/>
          <w:sz w:val="28"/>
          <w:szCs w:val="28"/>
        </w:rPr>
        <w:t>AG600</w:t>
      </w:r>
      <w:r>
        <w:rPr>
          <w:rFonts w:ascii="Times New Roman" w:eastAsia="仿宋_GB2312" w:hAnsi="Times New Roman" w:cs="Times New Roman"/>
          <w:kern w:val="0"/>
          <w:sz w:val="28"/>
          <w:szCs w:val="28"/>
        </w:rPr>
        <w:t>型飞机对</w:t>
      </w:r>
      <w:r>
        <w:rPr>
          <w:rFonts w:ascii="Times New Roman" w:eastAsia="仿宋_GB2312" w:hAnsi="Times New Roman" w:cs="Times New Roman"/>
          <w:kern w:val="0"/>
          <w:sz w:val="28"/>
          <w:szCs w:val="28"/>
        </w:rPr>
        <w:t>CCAR25.901(c)</w:t>
      </w:r>
      <w:r>
        <w:rPr>
          <w:rFonts w:ascii="Times New Roman" w:eastAsia="仿宋_GB2312" w:hAnsi="Times New Roman" w:cs="Times New Roman"/>
          <w:kern w:val="0"/>
          <w:sz w:val="28"/>
          <w:szCs w:val="28"/>
        </w:rPr>
        <w:t>的（部分）豁免申请对</w:t>
      </w:r>
      <w:r>
        <w:rPr>
          <w:rFonts w:ascii="Times New Roman" w:eastAsia="仿宋_GB2312" w:hAnsi="Times New Roman" w:cs="Times New Roman"/>
          <w:kern w:val="0"/>
          <w:sz w:val="28"/>
          <w:szCs w:val="28"/>
        </w:rPr>
        <w:t>AG600</w:t>
      </w:r>
      <w:r>
        <w:rPr>
          <w:rFonts w:ascii="Times New Roman" w:eastAsia="仿宋_GB2312" w:hAnsi="Times New Roman" w:cs="Times New Roman"/>
          <w:kern w:val="0"/>
          <w:sz w:val="28"/>
          <w:szCs w:val="28"/>
        </w:rPr>
        <w:t>型飞机适航性无不利影响，能够达到可接受的安全水平。</w:t>
      </w:r>
      <w:r>
        <w:rPr>
          <w:rFonts w:ascii="Times New Roman" w:eastAsia="仿宋_GB2312" w:hAnsi="Times New Roman" w:cs="Times New Roman"/>
          <w:kern w:val="0"/>
          <w:sz w:val="28"/>
          <w:szCs w:val="28"/>
        </w:rPr>
        <w:t>”</w:t>
      </w:r>
    </w:p>
    <w:p w14:paraId="0E8834D9" w14:textId="77777777" w:rsidR="007B463F" w:rsidRDefault="000B6433">
      <w:pPr>
        <w:pStyle w:val="Default"/>
        <w:numPr>
          <w:ilvl w:val="0"/>
          <w:numId w:val="1"/>
        </w:numPr>
        <w:jc w:val="both"/>
        <w:outlineLvl w:val="0"/>
        <w:rPr>
          <w:rFonts w:ascii="Times New Roman" w:hAnsi="Times New Roman" w:cs="Times New Roman"/>
          <w:color w:val="auto"/>
          <w:sz w:val="28"/>
          <w:szCs w:val="28"/>
        </w:rPr>
      </w:pPr>
      <w:r>
        <w:rPr>
          <w:rFonts w:ascii="Times New Roman" w:hAnsi="Times New Roman" w:cs="Times New Roman"/>
          <w:color w:val="auto"/>
          <w:sz w:val="28"/>
          <w:szCs w:val="28"/>
        </w:rPr>
        <w:t>豁免有效期</w:t>
      </w:r>
    </w:p>
    <w:p w14:paraId="76C61E98"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永久。</w:t>
      </w:r>
    </w:p>
    <w:p w14:paraId="2F8F5D96" w14:textId="77777777" w:rsidR="007B463F" w:rsidRDefault="000B6433">
      <w:pPr>
        <w:pStyle w:val="Default"/>
        <w:numPr>
          <w:ilvl w:val="0"/>
          <w:numId w:val="1"/>
        </w:numPr>
        <w:jc w:val="both"/>
        <w:outlineLvl w:val="0"/>
        <w:rPr>
          <w:rFonts w:ascii="Times New Roman" w:hAnsi="Times New Roman" w:cs="Times New Roman"/>
          <w:color w:val="auto"/>
          <w:sz w:val="28"/>
          <w:szCs w:val="28"/>
        </w:rPr>
      </w:pPr>
      <w:r>
        <w:rPr>
          <w:rFonts w:ascii="Times New Roman" w:hAnsi="Times New Roman" w:cs="Times New Roman"/>
          <w:color w:val="auto"/>
          <w:sz w:val="28"/>
          <w:szCs w:val="28"/>
        </w:rPr>
        <w:t>结论</w:t>
      </w:r>
    </w:p>
    <w:p w14:paraId="1CA53374" w14:textId="77777777" w:rsidR="007B463F" w:rsidRDefault="000B6433">
      <w:pPr>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鉴于以上分析，</w:t>
      </w:r>
      <w:r>
        <w:rPr>
          <w:rFonts w:ascii="Times New Roman" w:eastAsia="仿宋_GB2312" w:hAnsi="Times New Roman" w:cs="Times New Roman"/>
          <w:sz w:val="28"/>
          <w:szCs w:val="28"/>
        </w:rPr>
        <w:t>拟</w:t>
      </w:r>
      <w:r>
        <w:rPr>
          <w:rFonts w:ascii="Times New Roman" w:eastAsia="仿宋_GB2312" w:hAnsi="Times New Roman" w:cs="Times New Roman"/>
          <w:sz w:val="28"/>
          <w:szCs w:val="28"/>
        </w:rPr>
        <w:t>批准此豁免。</w:t>
      </w:r>
    </w:p>
    <w:p w14:paraId="6A47B961" w14:textId="77777777" w:rsidR="007B463F" w:rsidRDefault="000B6433">
      <w:pPr>
        <w:pStyle w:val="a4"/>
        <w:kinsoku w:val="0"/>
        <w:overflowPunct w:val="0"/>
        <w:ind w:left="238"/>
        <w:rPr>
          <w:rFonts w:ascii="Times New Roman" w:eastAsia="仿宋_GB2312" w:hAnsi="Times New Roman" w:cs="Times New Roman"/>
          <w:szCs w:val="28"/>
        </w:rPr>
      </w:pPr>
      <w:r>
        <w:rPr>
          <w:rFonts w:ascii="Times New Roman" w:eastAsia="仿宋_GB2312" w:hAnsi="Times New Roman" w:cs="Times New Roman"/>
          <w:szCs w:val="28"/>
        </w:rPr>
        <w:t>附：《专用条件</w:t>
      </w:r>
      <w:r>
        <w:rPr>
          <w:rFonts w:ascii="Times New Roman" w:eastAsia="仿宋_GB2312" w:hAnsi="Times New Roman" w:cs="Times New Roman"/>
          <w:szCs w:val="28"/>
        </w:rPr>
        <w:t>/</w:t>
      </w:r>
      <w:r>
        <w:rPr>
          <w:rFonts w:ascii="Times New Roman" w:eastAsia="仿宋_GB2312" w:hAnsi="Times New Roman" w:cs="Times New Roman"/>
          <w:szCs w:val="28"/>
        </w:rPr>
        <w:t>豁免反馈意见表》</w:t>
      </w:r>
      <w:r>
        <w:rPr>
          <w:rFonts w:ascii="Times New Roman" w:eastAsia="仿宋_GB2312" w:hAnsi="Times New Roman" w:cs="Times New Roman"/>
          <w:kern w:val="0"/>
          <w:szCs w:val="28"/>
        </w:rPr>
        <w:t>（表</w:t>
      </w:r>
      <w:r>
        <w:rPr>
          <w:rFonts w:ascii="Times New Roman" w:eastAsia="仿宋_GB2312" w:hAnsi="Times New Roman" w:cs="Times New Roman"/>
          <w:kern w:val="0"/>
          <w:szCs w:val="28"/>
        </w:rPr>
        <w:t>-21-145</w:t>
      </w:r>
      <w:r>
        <w:rPr>
          <w:rFonts w:ascii="Times New Roman" w:eastAsia="仿宋_GB2312" w:hAnsi="Times New Roman" w:cs="Times New Roman"/>
          <w:kern w:val="0"/>
          <w:szCs w:val="28"/>
        </w:rPr>
        <w:t>）</w:t>
      </w:r>
    </w:p>
    <w:p w14:paraId="6701088C" w14:textId="77777777" w:rsidR="007B463F" w:rsidRDefault="000B6433">
      <w:pPr>
        <w:rPr>
          <w:rFonts w:ascii="Times New Roman" w:eastAsia="仿宋_GB2312" w:hAnsi="Times New Roman" w:cs="Times New Roman"/>
          <w:szCs w:val="22"/>
        </w:rPr>
      </w:pPr>
      <w:r>
        <w:rPr>
          <w:rFonts w:ascii="Times New Roman" w:eastAsia="仿宋_GB2312" w:hAnsi="Times New Roman" w:cs="Times New Roman"/>
          <w:szCs w:val="22"/>
        </w:rPr>
        <w:br w:type="page"/>
      </w:r>
    </w:p>
    <w:p w14:paraId="1CBC6A55" w14:textId="77777777" w:rsidR="007B463F" w:rsidRDefault="007B463F">
      <w:pPr>
        <w:autoSpaceDE w:val="0"/>
        <w:autoSpaceDN w:val="0"/>
        <w:adjustRightInd w:val="0"/>
        <w:spacing w:line="463" w:lineRule="exact"/>
        <w:jc w:val="left"/>
        <w:rPr>
          <w:rFonts w:ascii="Times New Roman" w:eastAsia="仿宋_GB2312" w:hAnsi="Times New Roman" w:cs="Times New Roman"/>
          <w:sz w:val="32"/>
          <w:szCs w:val="32"/>
        </w:rPr>
      </w:pPr>
    </w:p>
    <w:p w14:paraId="498547E5" w14:textId="77777777" w:rsidR="007B463F" w:rsidRDefault="000B6433">
      <w:pPr>
        <w:autoSpaceDE w:val="0"/>
        <w:autoSpaceDN w:val="0"/>
        <w:adjustRightInd w:val="0"/>
        <w:spacing w:line="463" w:lineRule="exact"/>
        <w:jc w:val="center"/>
        <w:rPr>
          <w:rFonts w:ascii="Times New Roman" w:eastAsia="仿宋_GB2312" w:hAnsi="Times New Roman" w:cs="Times New Roman"/>
          <w:kern w:val="0"/>
          <w:sz w:val="28"/>
          <w:szCs w:val="28"/>
        </w:rPr>
      </w:pPr>
      <w:r>
        <w:rPr>
          <w:rFonts w:ascii="Times New Roman" w:eastAsia="仿宋_GB2312" w:hAnsi="Times New Roman" w:cs="Times New Roman"/>
          <w:kern w:val="0"/>
          <w:position w:val="-4"/>
          <w:sz w:val="28"/>
          <w:szCs w:val="28"/>
        </w:rPr>
        <w:t>专用条件</w:t>
      </w:r>
      <w:r>
        <w:rPr>
          <w:rFonts w:ascii="Times New Roman" w:eastAsia="仿宋_GB2312" w:hAnsi="Times New Roman" w:cs="Times New Roman"/>
          <w:kern w:val="0"/>
          <w:position w:val="-4"/>
          <w:sz w:val="28"/>
          <w:szCs w:val="28"/>
        </w:rPr>
        <w:t>/</w:t>
      </w:r>
      <w:r>
        <w:rPr>
          <w:rFonts w:ascii="Times New Roman" w:eastAsia="仿宋_GB2312" w:hAnsi="Times New Roman" w:cs="Times New Roman"/>
          <w:kern w:val="0"/>
          <w:position w:val="-4"/>
          <w:sz w:val="28"/>
          <w:szCs w:val="28"/>
        </w:rPr>
        <w:t>豁免反馈意见表</w:t>
      </w:r>
    </w:p>
    <w:p w14:paraId="4E05295E" w14:textId="77777777" w:rsidR="007B463F" w:rsidRDefault="007B463F">
      <w:pPr>
        <w:autoSpaceDE w:val="0"/>
        <w:autoSpaceDN w:val="0"/>
        <w:adjustRightInd w:val="0"/>
        <w:spacing w:before="3" w:line="160" w:lineRule="exact"/>
        <w:jc w:val="left"/>
        <w:rPr>
          <w:rFonts w:ascii="Times New Roman" w:eastAsia="仿宋_GB2312" w:hAnsi="Times New Roman" w:cs="Times New Roman"/>
          <w:kern w:val="0"/>
          <w:sz w:val="16"/>
          <w:szCs w:val="16"/>
        </w:rPr>
      </w:pPr>
    </w:p>
    <w:tbl>
      <w:tblPr>
        <w:tblW w:w="8687" w:type="dxa"/>
        <w:tblInd w:w="107" w:type="dxa"/>
        <w:tblLayout w:type="fixed"/>
        <w:tblCellMar>
          <w:left w:w="0" w:type="dxa"/>
          <w:right w:w="0" w:type="dxa"/>
        </w:tblCellMar>
        <w:tblLook w:val="04A0" w:firstRow="1" w:lastRow="0" w:firstColumn="1" w:lastColumn="0" w:noHBand="0" w:noVBand="1"/>
      </w:tblPr>
      <w:tblGrid>
        <w:gridCol w:w="694"/>
        <w:gridCol w:w="1134"/>
        <w:gridCol w:w="285"/>
        <w:gridCol w:w="6574"/>
      </w:tblGrid>
      <w:tr w:rsidR="007B463F" w14:paraId="2B021380" w14:textId="77777777">
        <w:trPr>
          <w:trHeight w:hRule="exact" w:val="643"/>
        </w:trPr>
        <w:tc>
          <w:tcPr>
            <w:tcW w:w="694" w:type="dxa"/>
            <w:tcBorders>
              <w:top w:val="single" w:sz="4" w:space="0" w:color="000000"/>
              <w:left w:val="single" w:sz="4" w:space="0" w:color="000000"/>
              <w:bottom w:val="single" w:sz="4" w:space="0" w:color="000000"/>
              <w:right w:val="single" w:sz="4" w:space="0" w:color="000000"/>
            </w:tcBorders>
          </w:tcPr>
          <w:p w14:paraId="1A9F59A0" w14:textId="77777777" w:rsidR="007B463F" w:rsidRDefault="000B6433">
            <w:pPr>
              <w:autoSpaceDE w:val="0"/>
              <w:autoSpaceDN w:val="0"/>
              <w:adjustRightInd w:val="0"/>
              <w:spacing w:before="9"/>
              <w:ind w:left="56" w:right="-20"/>
              <w:jc w:val="left"/>
              <w:rPr>
                <w:rFonts w:ascii="Times New Roman" w:eastAsia="仿宋_GB2312" w:hAnsi="Times New Roman" w:cs="Times New Roman"/>
                <w:kern w:val="0"/>
                <w:sz w:val="24"/>
                <w:szCs w:val="24"/>
              </w:rPr>
            </w:pPr>
            <w:r>
              <w:rPr>
                <w:rFonts w:ascii="Times New Roman" w:eastAsia="仿宋_GB2312" w:hAnsi="Times New Roman" w:cs="Times New Roman"/>
                <w:spacing w:val="1"/>
                <w:kern w:val="0"/>
                <w:sz w:val="28"/>
                <w:szCs w:val="28"/>
              </w:rPr>
              <w:t>类别</w:t>
            </w:r>
          </w:p>
        </w:tc>
        <w:tc>
          <w:tcPr>
            <w:tcW w:w="7993" w:type="dxa"/>
            <w:gridSpan w:val="3"/>
            <w:tcBorders>
              <w:top w:val="single" w:sz="4" w:space="0" w:color="000000"/>
              <w:left w:val="single" w:sz="4" w:space="0" w:color="000000"/>
              <w:bottom w:val="single" w:sz="4" w:space="0" w:color="000000"/>
              <w:right w:val="single" w:sz="4" w:space="0" w:color="000000"/>
            </w:tcBorders>
          </w:tcPr>
          <w:p w14:paraId="31D50293" w14:textId="77777777" w:rsidR="007B463F" w:rsidRDefault="000B6433">
            <w:pPr>
              <w:autoSpaceDE w:val="0"/>
              <w:autoSpaceDN w:val="0"/>
              <w:adjustRightInd w:val="0"/>
              <w:spacing w:before="9"/>
              <w:ind w:left="1331" w:right="-20"/>
              <w:jc w:val="left"/>
              <w:rPr>
                <w:rFonts w:ascii="Times New Roman" w:eastAsia="仿宋_GB2312" w:hAnsi="Times New Roman" w:cs="Times New Roman"/>
                <w:kern w:val="0"/>
                <w:sz w:val="24"/>
                <w:szCs w:val="24"/>
              </w:rPr>
            </w:pPr>
            <w:r>
              <w:rPr>
                <w:rFonts w:ascii="Times New Roman" w:eastAsia="仿宋_GB2312" w:hAnsi="Times New Roman" w:cs="Times New Roman"/>
                <w:spacing w:val="1"/>
                <w:w w:val="107"/>
                <w:kern w:val="0"/>
                <w:sz w:val="28"/>
                <w:szCs w:val="28"/>
              </w:rPr>
              <w:t>□</w:t>
            </w:r>
            <w:r>
              <w:rPr>
                <w:rFonts w:ascii="Times New Roman" w:eastAsia="仿宋_GB2312" w:hAnsi="Times New Roman" w:cs="Times New Roman"/>
                <w:spacing w:val="1"/>
                <w:w w:val="107"/>
                <w:kern w:val="0"/>
                <w:sz w:val="28"/>
                <w:szCs w:val="28"/>
              </w:rPr>
              <w:t>专用条件</w:t>
            </w:r>
            <w:r>
              <w:rPr>
                <w:rFonts w:ascii="Times New Roman" w:eastAsia="仿宋_GB2312" w:hAnsi="Times New Roman" w:cs="Times New Roman"/>
                <w:spacing w:val="1"/>
                <w:w w:val="107"/>
                <w:kern w:val="0"/>
                <w:sz w:val="28"/>
                <w:szCs w:val="28"/>
              </w:rPr>
              <w:t xml:space="preserve">  □</w:t>
            </w:r>
            <w:r>
              <w:rPr>
                <w:rFonts w:ascii="Times New Roman" w:eastAsia="仿宋_GB2312" w:hAnsi="Times New Roman" w:cs="Times New Roman"/>
                <w:spacing w:val="1"/>
                <w:w w:val="107"/>
                <w:kern w:val="0"/>
                <w:sz w:val="28"/>
                <w:szCs w:val="28"/>
              </w:rPr>
              <w:t>豁免</w:t>
            </w:r>
          </w:p>
        </w:tc>
      </w:tr>
      <w:tr w:rsidR="007B463F" w14:paraId="6854C3E9" w14:textId="77777777">
        <w:trPr>
          <w:trHeight w:hRule="exact" w:val="634"/>
        </w:trPr>
        <w:tc>
          <w:tcPr>
            <w:tcW w:w="2113" w:type="dxa"/>
            <w:gridSpan w:val="3"/>
            <w:tcBorders>
              <w:top w:val="single" w:sz="4" w:space="0" w:color="000000"/>
              <w:left w:val="single" w:sz="4" w:space="0" w:color="000000"/>
              <w:bottom w:val="single" w:sz="4" w:space="0" w:color="000000"/>
              <w:right w:val="single" w:sz="4" w:space="0" w:color="000000"/>
            </w:tcBorders>
          </w:tcPr>
          <w:p w14:paraId="5AF99F9A" w14:textId="77777777" w:rsidR="007B463F" w:rsidRDefault="000B6433">
            <w:pPr>
              <w:autoSpaceDE w:val="0"/>
              <w:autoSpaceDN w:val="0"/>
              <w:adjustRightInd w:val="0"/>
              <w:ind w:left="56" w:right="-20"/>
              <w:jc w:val="left"/>
              <w:rPr>
                <w:rFonts w:ascii="Times New Roman" w:eastAsia="仿宋_GB2312" w:hAnsi="Times New Roman" w:cs="Times New Roman"/>
                <w:kern w:val="0"/>
                <w:sz w:val="24"/>
                <w:szCs w:val="24"/>
              </w:rPr>
            </w:pPr>
            <w:r>
              <w:rPr>
                <w:rFonts w:ascii="Times New Roman" w:eastAsia="仿宋_GB2312" w:hAnsi="Times New Roman" w:cs="Times New Roman"/>
                <w:spacing w:val="1"/>
                <w:kern w:val="0"/>
                <w:sz w:val="28"/>
                <w:szCs w:val="28"/>
              </w:rPr>
              <w:t>征求意见稿编号</w:t>
            </w:r>
          </w:p>
        </w:tc>
        <w:tc>
          <w:tcPr>
            <w:tcW w:w="6574" w:type="dxa"/>
            <w:tcBorders>
              <w:top w:val="single" w:sz="4" w:space="0" w:color="000000"/>
              <w:left w:val="single" w:sz="4" w:space="0" w:color="000000"/>
              <w:bottom w:val="single" w:sz="4" w:space="0" w:color="000000"/>
              <w:right w:val="single" w:sz="4" w:space="0" w:color="000000"/>
            </w:tcBorders>
          </w:tcPr>
          <w:p w14:paraId="6FAEE410" w14:textId="77777777" w:rsidR="007B463F" w:rsidRDefault="007B463F">
            <w:pPr>
              <w:autoSpaceDE w:val="0"/>
              <w:autoSpaceDN w:val="0"/>
              <w:adjustRightInd w:val="0"/>
              <w:ind w:left="52" w:right="-20"/>
              <w:jc w:val="left"/>
              <w:rPr>
                <w:rFonts w:ascii="Times New Roman" w:eastAsia="仿宋_GB2312" w:hAnsi="Times New Roman" w:cs="Times New Roman"/>
                <w:kern w:val="0"/>
                <w:sz w:val="24"/>
                <w:szCs w:val="24"/>
              </w:rPr>
            </w:pPr>
          </w:p>
        </w:tc>
      </w:tr>
      <w:tr w:rsidR="007B463F" w14:paraId="3197EB48" w14:textId="77777777">
        <w:trPr>
          <w:trHeight w:hRule="exact" w:val="634"/>
        </w:trPr>
        <w:tc>
          <w:tcPr>
            <w:tcW w:w="1828" w:type="dxa"/>
            <w:gridSpan w:val="2"/>
            <w:tcBorders>
              <w:top w:val="single" w:sz="4" w:space="0" w:color="000000"/>
              <w:left w:val="single" w:sz="4" w:space="0" w:color="000000"/>
              <w:bottom w:val="single" w:sz="4" w:space="0" w:color="000000"/>
              <w:right w:val="single" w:sz="4" w:space="0" w:color="000000"/>
            </w:tcBorders>
          </w:tcPr>
          <w:p w14:paraId="457E3E82" w14:textId="77777777" w:rsidR="007B463F" w:rsidRDefault="000B6433">
            <w:pPr>
              <w:autoSpaceDE w:val="0"/>
              <w:autoSpaceDN w:val="0"/>
              <w:adjustRightInd w:val="0"/>
              <w:ind w:left="56" w:right="-20"/>
              <w:jc w:val="left"/>
              <w:rPr>
                <w:rFonts w:ascii="Times New Roman" w:eastAsia="仿宋_GB2312" w:hAnsi="Times New Roman" w:cs="Times New Roman"/>
                <w:kern w:val="0"/>
                <w:sz w:val="24"/>
                <w:szCs w:val="24"/>
              </w:rPr>
            </w:pPr>
            <w:r>
              <w:rPr>
                <w:rFonts w:ascii="Times New Roman" w:eastAsia="仿宋_GB2312" w:hAnsi="Times New Roman" w:cs="Times New Roman"/>
                <w:spacing w:val="1"/>
                <w:kern w:val="0"/>
                <w:sz w:val="28"/>
                <w:szCs w:val="28"/>
              </w:rPr>
              <w:t>航空产品型号</w:t>
            </w:r>
          </w:p>
        </w:tc>
        <w:tc>
          <w:tcPr>
            <w:tcW w:w="6859" w:type="dxa"/>
            <w:gridSpan w:val="2"/>
            <w:tcBorders>
              <w:top w:val="single" w:sz="4" w:space="0" w:color="000000"/>
              <w:left w:val="single" w:sz="4" w:space="0" w:color="000000"/>
              <w:bottom w:val="single" w:sz="4" w:space="0" w:color="000000"/>
              <w:right w:val="single" w:sz="4" w:space="0" w:color="000000"/>
            </w:tcBorders>
          </w:tcPr>
          <w:p w14:paraId="020F4D9F" w14:textId="77777777" w:rsidR="007B463F" w:rsidRDefault="007B463F">
            <w:pPr>
              <w:autoSpaceDE w:val="0"/>
              <w:autoSpaceDN w:val="0"/>
              <w:adjustRightInd w:val="0"/>
              <w:ind w:left="52" w:right="-20"/>
              <w:jc w:val="left"/>
              <w:rPr>
                <w:rFonts w:ascii="Times New Roman" w:eastAsia="仿宋_GB2312" w:hAnsi="Times New Roman" w:cs="Times New Roman"/>
                <w:kern w:val="0"/>
                <w:sz w:val="24"/>
                <w:szCs w:val="24"/>
              </w:rPr>
            </w:pPr>
          </w:p>
        </w:tc>
      </w:tr>
      <w:tr w:rsidR="007B463F" w14:paraId="291B208F" w14:textId="77777777">
        <w:trPr>
          <w:trHeight w:hRule="exact" w:val="635"/>
        </w:trPr>
        <w:tc>
          <w:tcPr>
            <w:tcW w:w="8687" w:type="dxa"/>
            <w:gridSpan w:val="4"/>
            <w:tcBorders>
              <w:top w:val="single" w:sz="4" w:space="0" w:color="000000"/>
              <w:left w:val="single" w:sz="4" w:space="0" w:color="000000"/>
              <w:bottom w:val="single" w:sz="4" w:space="0" w:color="000000"/>
              <w:right w:val="single" w:sz="4" w:space="0" w:color="000000"/>
            </w:tcBorders>
          </w:tcPr>
          <w:p w14:paraId="0495B124" w14:textId="77777777" w:rsidR="007B463F" w:rsidRDefault="000B6433">
            <w:pPr>
              <w:autoSpaceDE w:val="0"/>
              <w:autoSpaceDN w:val="0"/>
              <w:adjustRightInd w:val="0"/>
              <w:ind w:left="56" w:right="-20"/>
              <w:jc w:val="left"/>
              <w:rPr>
                <w:rFonts w:ascii="Times New Roman" w:eastAsia="仿宋_GB2312" w:hAnsi="Times New Roman" w:cs="Times New Roman"/>
                <w:kern w:val="0"/>
                <w:sz w:val="24"/>
                <w:szCs w:val="24"/>
              </w:rPr>
            </w:pPr>
            <w:r>
              <w:rPr>
                <w:rFonts w:ascii="Times New Roman" w:eastAsia="仿宋_GB2312" w:hAnsi="Times New Roman" w:cs="Times New Roman"/>
                <w:spacing w:val="1"/>
                <w:kern w:val="0"/>
                <w:sz w:val="28"/>
                <w:szCs w:val="28"/>
              </w:rPr>
              <w:t>相关的适航规章和</w:t>
            </w:r>
            <w:r>
              <w:rPr>
                <w:rFonts w:ascii="Times New Roman" w:eastAsia="仿宋_GB2312" w:hAnsi="Times New Roman" w:cs="Times New Roman"/>
                <w:spacing w:val="1"/>
                <w:kern w:val="0"/>
                <w:sz w:val="28"/>
                <w:szCs w:val="28"/>
              </w:rPr>
              <w:t>/</w:t>
            </w:r>
            <w:r>
              <w:rPr>
                <w:rFonts w:ascii="Times New Roman" w:eastAsia="仿宋_GB2312" w:hAnsi="Times New Roman" w:cs="Times New Roman"/>
                <w:spacing w:val="1"/>
                <w:kern w:val="0"/>
                <w:sz w:val="28"/>
                <w:szCs w:val="28"/>
              </w:rPr>
              <w:t>或环保要求</w:t>
            </w:r>
          </w:p>
        </w:tc>
      </w:tr>
      <w:tr w:rsidR="007B463F" w14:paraId="07E55EDA" w14:textId="77777777">
        <w:trPr>
          <w:trHeight w:hRule="exact" w:val="1578"/>
        </w:trPr>
        <w:tc>
          <w:tcPr>
            <w:tcW w:w="8687" w:type="dxa"/>
            <w:gridSpan w:val="4"/>
            <w:tcBorders>
              <w:top w:val="single" w:sz="4" w:space="0" w:color="000000"/>
              <w:left w:val="single" w:sz="4" w:space="0" w:color="000000"/>
              <w:bottom w:val="single" w:sz="4" w:space="0" w:color="000000"/>
              <w:right w:val="single" w:sz="4" w:space="0" w:color="000000"/>
            </w:tcBorders>
          </w:tcPr>
          <w:p w14:paraId="57DEA643" w14:textId="77777777" w:rsidR="007B463F" w:rsidRDefault="007B463F">
            <w:pPr>
              <w:autoSpaceDE w:val="0"/>
              <w:autoSpaceDN w:val="0"/>
              <w:adjustRightInd w:val="0"/>
              <w:ind w:left="127" w:right="-20"/>
              <w:jc w:val="left"/>
              <w:rPr>
                <w:rFonts w:ascii="Times New Roman" w:eastAsia="仿宋_GB2312" w:hAnsi="Times New Roman" w:cs="Times New Roman"/>
                <w:kern w:val="0"/>
                <w:sz w:val="24"/>
                <w:szCs w:val="24"/>
              </w:rPr>
            </w:pPr>
          </w:p>
        </w:tc>
      </w:tr>
      <w:tr w:rsidR="007B463F" w14:paraId="1E2590B8" w14:textId="77777777">
        <w:trPr>
          <w:trHeight w:hRule="exact" w:val="635"/>
        </w:trPr>
        <w:tc>
          <w:tcPr>
            <w:tcW w:w="8687" w:type="dxa"/>
            <w:gridSpan w:val="4"/>
            <w:tcBorders>
              <w:top w:val="single" w:sz="4" w:space="0" w:color="000000"/>
              <w:left w:val="single" w:sz="4" w:space="0" w:color="000000"/>
              <w:bottom w:val="single" w:sz="4" w:space="0" w:color="000000"/>
              <w:right w:val="single" w:sz="4" w:space="0" w:color="000000"/>
            </w:tcBorders>
          </w:tcPr>
          <w:p w14:paraId="3E8D3C2C" w14:textId="77777777" w:rsidR="007B463F" w:rsidRDefault="000B6433">
            <w:pPr>
              <w:autoSpaceDE w:val="0"/>
              <w:autoSpaceDN w:val="0"/>
              <w:adjustRightInd w:val="0"/>
              <w:ind w:left="56" w:right="-20"/>
              <w:jc w:val="left"/>
              <w:rPr>
                <w:rFonts w:ascii="Times New Roman" w:eastAsia="仿宋_GB2312" w:hAnsi="Times New Roman" w:cs="Times New Roman"/>
                <w:kern w:val="0"/>
                <w:sz w:val="24"/>
                <w:szCs w:val="24"/>
              </w:rPr>
            </w:pPr>
            <w:r>
              <w:rPr>
                <w:rFonts w:ascii="Times New Roman" w:eastAsia="仿宋_GB2312" w:hAnsi="Times New Roman" w:cs="Times New Roman"/>
                <w:kern w:val="0"/>
                <w:sz w:val="28"/>
                <w:szCs w:val="28"/>
              </w:rPr>
              <w:t>意见或建议</w:t>
            </w:r>
          </w:p>
        </w:tc>
      </w:tr>
      <w:tr w:rsidR="007B463F" w14:paraId="74574E08" w14:textId="77777777">
        <w:trPr>
          <w:trHeight w:hRule="exact" w:val="4372"/>
        </w:trPr>
        <w:tc>
          <w:tcPr>
            <w:tcW w:w="8687" w:type="dxa"/>
            <w:gridSpan w:val="4"/>
            <w:tcBorders>
              <w:top w:val="single" w:sz="4" w:space="0" w:color="000000"/>
              <w:left w:val="single" w:sz="4" w:space="0" w:color="000000"/>
              <w:bottom w:val="single" w:sz="4" w:space="0" w:color="000000"/>
              <w:right w:val="single" w:sz="4" w:space="0" w:color="000000"/>
            </w:tcBorders>
          </w:tcPr>
          <w:p w14:paraId="22CA8F89" w14:textId="77777777" w:rsidR="007B463F" w:rsidRDefault="007B463F">
            <w:pPr>
              <w:autoSpaceDE w:val="0"/>
              <w:autoSpaceDN w:val="0"/>
              <w:adjustRightInd w:val="0"/>
              <w:ind w:left="178" w:right="-20"/>
              <w:jc w:val="left"/>
              <w:rPr>
                <w:rFonts w:ascii="Times New Roman" w:eastAsia="仿宋_GB2312" w:hAnsi="Times New Roman" w:cs="Times New Roman"/>
                <w:kern w:val="0"/>
                <w:sz w:val="24"/>
                <w:szCs w:val="24"/>
              </w:rPr>
            </w:pPr>
          </w:p>
        </w:tc>
      </w:tr>
      <w:tr w:rsidR="007B463F" w14:paraId="4AD2E86F" w14:textId="77777777">
        <w:trPr>
          <w:trHeight w:hRule="exact" w:val="3380"/>
        </w:trPr>
        <w:tc>
          <w:tcPr>
            <w:tcW w:w="8687" w:type="dxa"/>
            <w:gridSpan w:val="4"/>
            <w:tcBorders>
              <w:top w:val="single" w:sz="4" w:space="0" w:color="000000"/>
              <w:left w:val="single" w:sz="4" w:space="0" w:color="000000"/>
              <w:bottom w:val="single" w:sz="4" w:space="0" w:color="000000"/>
              <w:right w:val="single" w:sz="4" w:space="0" w:color="000000"/>
            </w:tcBorders>
          </w:tcPr>
          <w:p w14:paraId="32AB17A2" w14:textId="77777777" w:rsidR="007B463F" w:rsidRDefault="007B463F">
            <w:pPr>
              <w:autoSpaceDE w:val="0"/>
              <w:autoSpaceDN w:val="0"/>
              <w:adjustRightInd w:val="0"/>
              <w:spacing w:before="2" w:line="110" w:lineRule="exact"/>
              <w:jc w:val="left"/>
              <w:rPr>
                <w:rFonts w:ascii="Times New Roman" w:eastAsia="仿宋_GB2312" w:hAnsi="Times New Roman" w:cs="Times New Roman"/>
                <w:kern w:val="0"/>
                <w:sz w:val="11"/>
                <w:szCs w:val="11"/>
              </w:rPr>
            </w:pPr>
          </w:p>
          <w:p w14:paraId="197817CC" w14:textId="77777777" w:rsidR="007B463F" w:rsidRDefault="007B463F">
            <w:pPr>
              <w:autoSpaceDE w:val="0"/>
              <w:autoSpaceDN w:val="0"/>
              <w:adjustRightInd w:val="0"/>
              <w:spacing w:line="200" w:lineRule="exact"/>
              <w:jc w:val="left"/>
              <w:rPr>
                <w:rFonts w:ascii="Times New Roman" w:eastAsia="仿宋_GB2312" w:hAnsi="Times New Roman" w:cs="Times New Roman"/>
                <w:kern w:val="0"/>
                <w:sz w:val="20"/>
                <w:szCs w:val="20"/>
              </w:rPr>
            </w:pPr>
          </w:p>
          <w:p w14:paraId="73EBA0D3" w14:textId="77777777" w:rsidR="007B463F" w:rsidRDefault="000B6433">
            <w:pPr>
              <w:tabs>
                <w:tab w:val="left" w:pos="2760"/>
                <w:tab w:val="left" w:pos="3460"/>
                <w:tab w:val="left" w:pos="5280"/>
                <w:tab w:val="left" w:pos="8080"/>
                <w:tab w:val="left" w:pos="9200"/>
              </w:tabs>
              <w:autoSpaceDE w:val="0"/>
              <w:autoSpaceDN w:val="0"/>
              <w:adjustRightInd w:val="0"/>
              <w:spacing w:line="311" w:lineRule="auto"/>
              <w:ind w:left="107" w:right="44"/>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姓名</w:t>
            </w:r>
            <w:r>
              <w:rPr>
                <w:rFonts w:ascii="Times New Roman" w:eastAsia="仿宋_GB2312" w:hAnsi="Times New Roman" w:cs="Times New Roman"/>
                <w:spacing w:val="2"/>
                <w:kern w:val="0"/>
                <w:sz w:val="28"/>
                <w:szCs w:val="28"/>
              </w:rPr>
              <w:t>：</w:t>
            </w:r>
            <w:r>
              <w:rPr>
                <w:rFonts w:ascii="Times New Roman" w:eastAsia="仿宋_GB2312" w:hAnsi="Times New Roman" w:cs="Times New Roman"/>
                <w:spacing w:val="69"/>
                <w:kern w:val="0"/>
                <w:sz w:val="28"/>
                <w:szCs w:val="28"/>
                <w:u w:val="single"/>
              </w:rPr>
              <w:t xml:space="preserve"> </w:t>
            </w:r>
            <w:r>
              <w:rPr>
                <w:rFonts w:ascii="Times New Roman" w:eastAsia="仿宋_GB2312" w:hAnsi="Times New Roman" w:cs="Times New Roman"/>
                <w:kern w:val="0"/>
                <w:sz w:val="28"/>
                <w:szCs w:val="28"/>
                <w:u w:val="single"/>
              </w:rPr>
              <w:tab/>
            </w:r>
            <w:r>
              <w:rPr>
                <w:rFonts w:ascii="Times New Roman" w:eastAsia="仿宋_GB2312" w:hAnsi="Times New Roman" w:cs="Times New Roman"/>
                <w:kern w:val="0"/>
                <w:sz w:val="28"/>
                <w:szCs w:val="28"/>
                <w:u w:val="single"/>
              </w:rPr>
              <w:tab/>
            </w:r>
            <w:r>
              <w:rPr>
                <w:rFonts w:ascii="Times New Roman" w:eastAsia="仿宋_GB2312" w:hAnsi="Times New Roman" w:cs="Times New Roman"/>
                <w:kern w:val="0"/>
                <w:sz w:val="28"/>
                <w:szCs w:val="28"/>
              </w:rPr>
              <w:t>（印刷体</w:t>
            </w:r>
            <w:r>
              <w:rPr>
                <w:rFonts w:ascii="Times New Roman" w:eastAsia="仿宋_GB2312" w:hAnsi="Times New Roman" w:cs="Times New Roman"/>
                <w:spacing w:val="2"/>
                <w:kern w:val="0"/>
                <w:sz w:val="28"/>
                <w:szCs w:val="28"/>
              </w:rPr>
              <w:t>）</w:t>
            </w:r>
            <w:r>
              <w:rPr>
                <w:rFonts w:ascii="Times New Roman" w:eastAsia="仿宋_GB2312" w:hAnsi="Times New Roman" w:cs="Times New Roman"/>
                <w:spacing w:val="2"/>
                <w:kern w:val="0"/>
                <w:sz w:val="28"/>
                <w:szCs w:val="28"/>
                <w:u w:val="single"/>
              </w:rPr>
              <w:t xml:space="preserve">        </w:t>
            </w:r>
            <w:r>
              <w:rPr>
                <w:rFonts w:ascii="Times New Roman" w:eastAsia="仿宋_GB2312" w:hAnsi="Times New Roman" w:cs="Times New Roman"/>
                <w:spacing w:val="69"/>
                <w:kern w:val="0"/>
                <w:sz w:val="28"/>
                <w:szCs w:val="28"/>
                <w:u w:val="single"/>
              </w:rPr>
              <w:t xml:space="preserve">     </w:t>
            </w:r>
            <w:r>
              <w:rPr>
                <w:rFonts w:ascii="Times New Roman" w:eastAsia="仿宋_GB2312" w:hAnsi="Times New Roman" w:cs="Times New Roman"/>
                <w:kern w:val="0"/>
                <w:sz w:val="28"/>
                <w:szCs w:val="28"/>
              </w:rPr>
              <w:t>（签名）</w:t>
            </w:r>
            <w:r>
              <w:rPr>
                <w:rFonts w:ascii="Times New Roman" w:eastAsia="仿宋_GB2312" w:hAnsi="Times New Roman" w:cs="Times New Roman"/>
                <w:kern w:val="0"/>
                <w:sz w:val="28"/>
                <w:szCs w:val="28"/>
              </w:rPr>
              <w:t xml:space="preserve"> </w:t>
            </w:r>
          </w:p>
          <w:p w14:paraId="149F83B6" w14:textId="77777777" w:rsidR="007B463F" w:rsidRDefault="000B6433">
            <w:pPr>
              <w:tabs>
                <w:tab w:val="left" w:pos="2760"/>
                <w:tab w:val="left" w:pos="3460"/>
                <w:tab w:val="left" w:pos="5280"/>
                <w:tab w:val="left" w:pos="8080"/>
                <w:tab w:val="left" w:pos="9200"/>
              </w:tabs>
              <w:autoSpaceDE w:val="0"/>
              <w:autoSpaceDN w:val="0"/>
              <w:adjustRightInd w:val="0"/>
              <w:spacing w:line="311" w:lineRule="auto"/>
              <w:ind w:left="107" w:right="44"/>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电话</w:t>
            </w:r>
            <w:r>
              <w:rPr>
                <w:rFonts w:ascii="Times New Roman" w:eastAsia="仿宋_GB2312" w:hAnsi="Times New Roman" w:cs="Times New Roman"/>
                <w:spacing w:val="2"/>
                <w:kern w:val="0"/>
                <w:sz w:val="28"/>
                <w:szCs w:val="28"/>
              </w:rPr>
              <w:t>：</w:t>
            </w:r>
            <w:r>
              <w:rPr>
                <w:rFonts w:ascii="Times New Roman" w:eastAsia="仿宋_GB2312" w:hAnsi="Times New Roman" w:cs="Times New Roman"/>
                <w:spacing w:val="69"/>
                <w:kern w:val="0"/>
                <w:sz w:val="28"/>
                <w:szCs w:val="28"/>
                <w:u w:val="single"/>
              </w:rPr>
              <w:t xml:space="preserve"> </w:t>
            </w:r>
            <w:r>
              <w:rPr>
                <w:rFonts w:ascii="Times New Roman" w:eastAsia="仿宋_GB2312" w:hAnsi="Times New Roman" w:cs="Times New Roman"/>
                <w:kern w:val="0"/>
                <w:sz w:val="28"/>
                <w:szCs w:val="28"/>
                <w:u w:val="single"/>
              </w:rPr>
              <w:tab/>
            </w:r>
            <w:r>
              <w:rPr>
                <w:rFonts w:ascii="Times New Roman" w:eastAsia="仿宋_GB2312" w:hAnsi="Times New Roman" w:cs="Times New Roman"/>
                <w:kern w:val="0"/>
                <w:sz w:val="28"/>
                <w:szCs w:val="28"/>
              </w:rPr>
              <w:t>传真</w:t>
            </w:r>
            <w:r>
              <w:rPr>
                <w:rFonts w:ascii="Times New Roman" w:eastAsia="仿宋_GB2312" w:hAnsi="Times New Roman" w:cs="Times New Roman"/>
                <w:spacing w:val="2"/>
                <w:kern w:val="0"/>
                <w:sz w:val="28"/>
                <w:szCs w:val="28"/>
              </w:rPr>
              <w:t>：</w:t>
            </w:r>
            <w:r>
              <w:rPr>
                <w:rFonts w:ascii="Times New Roman" w:eastAsia="仿宋_GB2312" w:hAnsi="Times New Roman" w:cs="Times New Roman"/>
                <w:spacing w:val="69"/>
                <w:kern w:val="0"/>
                <w:sz w:val="28"/>
                <w:szCs w:val="28"/>
                <w:u w:val="single"/>
              </w:rPr>
              <w:t xml:space="preserve"> </w:t>
            </w:r>
            <w:r>
              <w:rPr>
                <w:rFonts w:ascii="Times New Roman" w:eastAsia="仿宋_GB2312" w:hAnsi="Times New Roman" w:cs="Times New Roman"/>
                <w:kern w:val="0"/>
                <w:sz w:val="28"/>
                <w:szCs w:val="28"/>
                <w:u w:val="single"/>
              </w:rPr>
              <w:tab/>
            </w:r>
            <w:r>
              <w:rPr>
                <w:rFonts w:ascii="Times New Roman" w:eastAsia="仿宋_GB2312" w:hAnsi="Times New Roman" w:cs="Times New Roman"/>
                <w:w w:val="99"/>
                <w:kern w:val="0"/>
                <w:sz w:val="28"/>
                <w:szCs w:val="28"/>
              </w:rPr>
              <w:t>电子邮箱：</w:t>
            </w:r>
            <w:r>
              <w:rPr>
                <w:rFonts w:ascii="Times New Roman" w:eastAsia="仿宋_GB2312" w:hAnsi="Times New Roman" w:cs="Times New Roman"/>
                <w:w w:val="199"/>
                <w:kern w:val="0"/>
                <w:sz w:val="28"/>
                <w:szCs w:val="28"/>
                <w:u w:val="single"/>
              </w:rPr>
              <w:t xml:space="preserve"> </w:t>
            </w:r>
            <w:r>
              <w:rPr>
                <w:rFonts w:ascii="Times New Roman" w:eastAsia="仿宋_GB2312" w:hAnsi="Times New Roman" w:cs="Times New Roman"/>
                <w:kern w:val="0"/>
                <w:sz w:val="28"/>
                <w:szCs w:val="28"/>
                <w:u w:val="single"/>
              </w:rPr>
              <w:tab/>
            </w:r>
            <w:r>
              <w:rPr>
                <w:rFonts w:ascii="Times New Roman" w:eastAsia="仿宋_GB2312" w:hAnsi="Times New Roman" w:cs="Times New Roman"/>
                <w:kern w:val="0"/>
                <w:sz w:val="28"/>
                <w:szCs w:val="28"/>
              </w:rPr>
              <w:t xml:space="preserve"> </w:t>
            </w:r>
          </w:p>
          <w:p w14:paraId="6F7EB02D" w14:textId="77777777" w:rsidR="007B463F" w:rsidRDefault="000B6433">
            <w:pPr>
              <w:tabs>
                <w:tab w:val="left" w:pos="2760"/>
                <w:tab w:val="left" w:pos="3460"/>
                <w:tab w:val="left" w:pos="5280"/>
                <w:tab w:val="left" w:pos="8080"/>
                <w:tab w:val="left" w:pos="9200"/>
              </w:tabs>
              <w:autoSpaceDE w:val="0"/>
              <w:autoSpaceDN w:val="0"/>
              <w:adjustRightInd w:val="0"/>
              <w:spacing w:line="311" w:lineRule="auto"/>
              <w:ind w:left="107" w:right="44"/>
              <w:rPr>
                <w:rFonts w:ascii="Times New Roman" w:eastAsia="仿宋_GB2312" w:hAnsi="Times New Roman" w:cs="Times New Roman"/>
                <w:kern w:val="0"/>
                <w:sz w:val="28"/>
                <w:szCs w:val="28"/>
              </w:rPr>
            </w:pPr>
            <w:r>
              <w:rPr>
                <w:rFonts w:ascii="Times New Roman" w:eastAsia="仿宋_GB2312" w:hAnsi="Times New Roman" w:cs="Times New Roman"/>
                <w:w w:val="99"/>
                <w:kern w:val="0"/>
                <w:sz w:val="28"/>
                <w:szCs w:val="28"/>
              </w:rPr>
              <w:t>通信地址</w:t>
            </w:r>
            <w:r>
              <w:rPr>
                <w:rFonts w:ascii="Times New Roman" w:eastAsia="仿宋_GB2312" w:hAnsi="Times New Roman" w:cs="Times New Roman"/>
                <w:spacing w:val="2"/>
                <w:w w:val="99"/>
                <w:kern w:val="0"/>
                <w:sz w:val="28"/>
                <w:szCs w:val="28"/>
              </w:rPr>
              <w:t>：</w:t>
            </w:r>
            <w:r>
              <w:rPr>
                <w:rFonts w:ascii="Times New Roman" w:eastAsia="仿宋_GB2312" w:hAnsi="Times New Roman" w:cs="Times New Roman"/>
                <w:w w:val="199"/>
                <w:kern w:val="0"/>
                <w:sz w:val="28"/>
                <w:szCs w:val="28"/>
                <w:u w:val="single"/>
              </w:rPr>
              <w:t xml:space="preserve"> </w:t>
            </w:r>
            <w:r>
              <w:rPr>
                <w:rFonts w:ascii="Times New Roman" w:eastAsia="仿宋_GB2312" w:hAnsi="Times New Roman" w:cs="Times New Roman"/>
                <w:kern w:val="0"/>
                <w:sz w:val="28"/>
                <w:szCs w:val="28"/>
                <w:u w:val="single"/>
              </w:rPr>
              <w:tab/>
            </w:r>
            <w:r>
              <w:rPr>
                <w:rFonts w:ascii="Times New Roman" w:eastAsia="仿宋_GB2312" w:hAnsi="Times New Roman" w:cs="Times New Roman"/>
                <w:kern w:val="0"/>
                <w:sz w:val="28"/>
                <w:szCs w:val="28"/>
                <w:u w:val="single"/>
              </w:rPr>
              <w:tab/>
            </w:r>
            <w:r>
              <w:rPr>
                <w:rFonts w:ascii="Times New Roman" w:eastAsia="仿宋_GB2312" w:hAnsi="Times New Roman" w:cs="Times New Roman"/>
                <w:kern w:val="0"/>
                <w:sz w:val="28"/>
                <w:szCs w:val="28"/>
                <w:u w:val="single"/>
              </w:rPr>
              <w:tab/>
            </w:r>
            <w:r>
              <w:rPr>
                <w:rFonts w:ascii="Times New Roman" w:eastAsia="仿宋_GB2312" w:hAnsi="Times New Roman" w:cs="Times New Roman"/>
                <w:kern w:val="0"/>
                <w:sz w:val="28"/>
                <w:szCs w:val="28"/>
                <w:u w:val="single"/>
              </w:rPr>
              <w:tab/>
            </w:r>
            <w:r>
              <w:rPr>
                <w:rFonts w:ascii="Times New Roman" w:eastAsia="仿宋_GB2312" w:hAnsi="Times New Roman" w:cs="Times New Roman"/>
                <w:kern w:val="0"/>
                <w:sz w:val="28"/>
                <w:szCs w:val="28"/>
              </w:rPr>
              <w:t xml:space="preserve"> </w:t>
            </w:r>
          </w:p>
          <w:p w14:paraId="5EA1641F" w14:textId="77777777" w:rsidR="007B463F" w:rsidRDefault="000B6433">
            <w:pPr>
              <w:tabs>
                <w:tab w:val="left" w:pos="3318"/>
                <w:tab w:val="left" w:pos="3460"/>
                <w:tab w:val="left" w:pos="5280"/>
                <w:tab w:val="left" w:pos="8080"/>
                <w:tab w:val="left" w:pos="9200"/>
              </w:tabs>
              <w:autoSpaceDE w:val="0"/>
              <w:autoSpaceDN w:val="0"/>
              <w:adjustRightInd w:val="0"/>
              <w:spacing w:line="311" w:lineRule="auto"/>
              <w:ind w:left="107" w:right="44"/>
              <w:rPr>
                <w:rFonts w:ascii="Times New Roman" w:eastAsia="仿宋_GB2312" w:hAnsi="Times New Roman" w:cs="Times New Roman"/>
                <w:kern w:val="0"/>
                <w:sz w:val="24"/>
                <w:szCs w:val="24"/>
              </w:rPr>
            </w:pPr>
            <w:r>
              <w:rPr>
                <w:rFonts w:ascii="Times New Roman" w:eastAsia="仿宋_GB2312" w:hAnsi="Times New Roman" w:cs="Times New Roman"/>
                <w:w w:val="99"/>
                <w:kern w:val="0"/>
                <w:sz w:val="28"/>
                <w:szCs w:val="28"/>
              </w:rPr>
              <w:t>日期</w:t>
            </w:r>
            <w:r>
              <w:rPr>
                <w:rFonts w:ascii="Times New Roman" w:eastAsia="仿宋_GB2312" w:hAnsi="Times New Roman" w:cs="Times New Roman"/>
                <w:spacing w:val="2"/>
                <w:w w:val="99"/>
                <w:kern w:val="0"/>
                <w:sz w:val="28"/>
                <w:szCs w:val="28"/>
              </w:rPr>
              <w:t>：</w:t>
            </w:r>
            <w:r>
              <w:rPr>
                <w:rFonts w:ascii="Times New Roman" w:eastAsia="仿宋_GB2312" w:hAnsi="Times New Roman" w:cs="Times New Roman"/>
                <w:w w:val="199"/>
                <w:kern w:val="0"/>
                <w:sz w:val="28"/>
                <w:szCs w:val="28"/>
                <w:u w:val="single"/>
              </w:rPr>
              <w:t xml:space="preserve"> </w:t>
            </w:r>
            <w:r>
              <w:rPr>
                <w:rFonts w:ascii="Times New Roman" w:eastAsia="仿宋_GB2312" w:hAnsi="Times New Roman" w:cs="Times New Roman"/>
                <w:kern w:val="0"/>
                <w:sz w:val="28"/>
                <w:szCs w:val="28"/>
                <w:u w:val="single"/>
              </w:rPr>
              <w:tab/>
            </w:r>
          </w:p>
        </w:tc>
      </w:tr>
    </w:tbl>
    <w:p w14:paraId="57650EF0" w14:textId="77777777" w:rsidR="007B463F" w:rsidRDefault="000B6433">
      <w:pPr>
        <w:autoSpaceDE w:val="0"/>
        <w:autoSpaceDN w:val="0"/>
        <w:adjustRightInd w:val="0"/>
        <w:spacing w:line="278" w:lineRule="exact"/>
        <w:ind w:left="118" w:right="-20" w:firstLineChars="100" w:firstLine="210"/>
        <w:jc w:val="left"/>
        <w:rPr>
          <w:rFonts w:ascii="Times New Roman" w:eastAsia="仿宋_GB2312" w:hAnsi="Times New Roman" w:cs="Times New Roman"/>
          <w:sz w:val="28"/>
          <w:szCs w:val="28"/>
        </w:rPr>
      </w:pPr>
      <w:r>
        <w:rPr>
          <w:rFonts w:ascii="Times New Roman" w:eastAsia="仿宋_GB2312" w:hAnsi="Times New Roman" w:cs="Times New Roman"/>
          <w:kern w:val="0"/>
        </w:rPr>
        <w:t>表</w:t>
      </w:r>
      <w:r>
        <w:rPr>
          <w:rFonts w:ascii="Times New Roman" w:eastAsia="仿宋_GB2312" w:hAnsi="Times New Roman" w:cs="Times New Roman"/>
          <w:kern w:val="0"/>
        </w:rPr>
        <w:t>-21-145-2023</w:t>
      </w:r>
    </w:p>
    <w:sectPr w:rsidR="007B46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8D4A35"/>
    <w:multiLevelType w:val="multilevel"/>
    <w:tmpl w:val="218D4A35"/>
    <w:lvl w:ilvl="0">
      <w:start w:val="1"/>
      <w:numFmt w:val="lowerLetter"/>
      <w:lvlText w:val="%1)"/>
      <w:lvlJc w:val="left"/>
      <w:pPr>
        <w:ind w:left="1280" w:hanging="720"/>
      </w:pPr>
      <w:rPr>
        <w:rFonts w:hint="default"/>
      </w:rPr>
    </w:lvl>
    <w:lvl w:ilvl="1">
      <w:start w:val="1"/>
      <w:numFmt w:val="lowerLetter"/>
      <w:lvlText w:val="%2)"/>
      <w:lvlJc w:val="left"/>
      <w:pPr>
        <w:ind w:left="1440" w:hanging="440"/>
      </w:pPr>
    </w:lvl>
    <w:lvl w:ilvl="2">
      <w:start w:val="1"/>
      <w:numFmt w:val="lowerRoman"/>
      <w:lvlText w:val="%3."/>
      <w:lvlJc w:val="right"/>
      <w:pPr>
        <w:ind w:left="1880" w:hanging="440"/>
      </w:pPr>
    </w:lvl>
    <w:lvl w:ilvl="3">
      <w:start w:val="1"/>
      <w:numFmt w:val="decimal"/>
      <w:lvlText w:val="%4."/>
      <w:lvlJc w:val="left"/>
      <w:pPr>
        <w:ind w:left="2320" w:hanging="440"/>
      </w:pPr>
    </w:lvl>
    <w:lvl w:ilvl="4">
      <w:start w:val="1"/>
      <w:numFmt w:val="lowerLetter"/>
      <w:lvlText w:val="%5)"/>
      <w:lvlJc w:val="left"/>
      <w:pPr>
        <w:ind w:left="2760" w:hanging="440"/>
      </w:pPr>
    </w:lvl>
    <w:lvl w:ilvl="5">
      <w:start w:val="1"/>
      <w:numFmt w:val="lowerRoman"/>
      <w:lvlText w:val="%6."/>
      <w:lvlJc w:val="right"/>
      <w:pPr>
        <w:ind w:left="3200" w:hanging="440"/>
      </w:pPr>
    </w:lvl>
    <w:lvl w:ilvl="6">
      <w:start w:val="1"/>
      <w:numFmt w:val="decimal"/>
      <w:lvlText w:val="%7."/>
      <w:lvlJc w:val="left"/>
      <w:pPr>
        <w:ind w:left="3640" w:hanging="440"/>
      </w:pPr>
    </w:lvl>
    <w:lvl w:ilvl="7">
      <w:start w:val="1"/>
      <w:numFmt w:val="lowerLetter"/>
      <w:lvlText w:val="%8)"/>
      <w:lvlJc w:val="left"/>
      <w:pPr>
        <w:ind w:left="4080" w:hanging="440"/>
      </w:pPr>
    </w:lvl>
    <w:lvl w:ilvl="8">
      <w:start w:val="1"/>
      <w:numFmt w:val="lowerRoman"/>
      <w:lvlText w:val="%9."/>
      <w:lvlJc w:val="right"/>
      <w:pPr>
        <w:ind w:left="4520" w:hanging="440"/>
      </w:pPr>
    </w:lvl>
  </w:abstractNum>
  <w:abstractNum w:abstractNumId="1">
    <w:nsid w:val="5A856395"/>
    <w:multiLevelType w:val="multilevel"/>
    <w:tmpl w:val="5A85639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D216269"/>
    <w:multiLevelType w:val="multilevel"/>
    <w:tmpl w:val="6D216269"/>
    <w:lvl w:ilvl="0">
      <w:start w:val="1"/>
      <w:numFmt w:val="decimal"/>
      <w:lvlText w:val="%1."/>
      <w:lvlJc w:val="left"/>
      <w:pPr>
        <w:ind w:left="1280" w:hanging="720"/>
      </w:pPr>
      <w:rPr>
        <w:rFonts w:hint="default"/>
      </w:rPr>
    </w:lvl>
    <w:lvl w:ilvl="1">
      <w:start w:val="1"/>
      <w:numFmt w:val="lowerLetter"/>
      <w:lvlText w:val="%2)"/>
      <w:lvlJc w:val="left"/>
      <w:pPr>
        <w:ind w:left="1440" w:hanging="440"/>
      </w:pPr>
    </w:lvl>
    <w:lvl w:ilvl="2">
      <w:start w:val="1"/>
      <w:numFmt w:val="lowerRoman"/>
      <w:lvlText w:val="%3."/>
      <w:lvlJc w:val="right"/>
      <w:pPr>
        <w:ind w:left="1880" w:hanging="440"/>
      </w:pPr>
    </w:lvl>
    <w:lvl w:ilvl="3">
      <w:start w:val="1"/>
      <w:numFmt w:val="decimal"/>
      <w:lvlText w:val="%4."/>
      <w:lvlJc w:val="left"/>
      <w:pPr>
        <w:ind w:left="2320" w:hanging="440"/>
      </w:pPr>
    </w:lvl>
    <w:lvl w:ilvl="4">
      <w:start w:val="1"/>
      <w:numFmt w:val="lowerLetter"/>
      <w:lvlText w:val="%5)"/>
      <w:lvlJc w:val="left"/>
      <w:pPr>
        <w:ind w:left="2760" w:hanging="440"/>
      </w:pPr>
    </w:lvl>
    <w:lvl w:ilvl="5">
      <w:start w:val="1"/>
      <w:numFmt w:val="lowerRoman"/>
      <w:lvlText w:val="%6."/>
      <w:lvlJc w:val="right"/>
      <w:pPr>
        <w:ind w:left="3200" w:hanging="440"/>
      </w:pPr>
    </w:lvl>
    <w:lvl w:ilvl="6">
      <w:start w:val="1"/>
      <w:numFmt w:val="decimal"/>
      <w:lvlText w:val="%7."/>
      <w:lvlJc w:val="left"/>
      <w:pPr>
        <w:ind w:left="3640" w:hanging="440"/>
      </w:pPr>
    </w:lvl>
    <w:lvl w:ilvl="7">
      <w:start w:val="1"/>
      <w:numFmt w:val="lowerLetter"/>
      <w:lvlText w:val="%8)"/>
      <w:lvlJc w:val="left"/>
      <w:pPr>
        <w:ind w:left="4080" w:hanging="440"/>
      </w:pPr>
    </w:lvl>
    <w:lvl w:ilvl="8">
      <w:start w:val="1"/>
      <w:numFmt w:val="lowerRoman"/>
      <w:lvlText w:val="%9."/>
      <w:lvlJc w:val="right"/>
      <w:pPr>
        <w:ind w:left="4520" w:hanging="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2MDBiMDVmNjkxODJiY2ZhYTE3ODcwZDU3NDJjODcifQ=="/>
  </w:docVars>
  <w:rsids>
    <w:rsidRoot w:val="00172A27"/>
    <w:rsid w:val="BD7760DD"/>
    <w:rsid w:val="00006518"/>
    <w:rsid w:val="00021D63"/>
    <w:rsid w:val="00023EEE"/>
    <w:rsid w:val="0004275E"/>
    <w:rsid w:val="00050FE8"/>
    <w:rsid w:val="000537FF"/>
    <w:rsid w:val="000564AF"/>
    <w:rsid w:val="00056653"/>
    <w:rsid w:val="000678DA"/>
    <w:rsid w:val="00083B8D"/>
    <w:rsid w:val="0008766C"/>
    <w:rsid w:val="000B6433"/>
    <w:rsid w:val="000C2CA9"/>
    <w:rsid w:val="000D747A"/>
    <w:rsid w:val="000E3ADD"/>
    <w:rsid w:val="000F62A7"/>
    <w:rsid w:val="00123C7D"/>
    <w:rsid w:val="00172A27"/>
    <w:rsid w:val="0019370B"/>
    <w:rsid w:val="001A1FFA"/>
    <w:rsid w:val="001E6BC6"/>
    <w:rsid w:val="001F19F8"/>
    <w:rsid w:val="001F202B"/>
    <w:rsid w:val="001F7D58"/>
    <w:rsid w:val="00212156"/>
    <w:rsid w:val="00217585"/>
    <w:rsid w:val="002203A8"/>
    <w:rsid w:val="0022172A"/>
    <w:rsid w:val="00227A4A"/>
    <w:rsid w:val="002374F4"/>
    <w:rsid w:val="00240D09"/>
    <w:rsid w:val="002431BE"/>
    <w:rsid w:val="002506B4"/>
    <w:rsid w:val="00276806"/>
    <w:rsid w:val="00277F4C"/>
    <w:rsid w:val="002936B9"/>
    <w:rsid w:val="002B2190"/>
    <w:rsid w:val="002C16F3"/>
    <w:rsid w:val="002C400B"/>
    <w:rsid w:val="002D7377"/>
    <w:rsid w:val="002E791E"/>
    <w:rsid w:val="00315475"/>
    <w:rsid w:val="00361544"/>
    <w:rsid w:val="00364360"/>
    <w:rsid w:val="003813FB"/>
    <w:rsid w:val="003828E1"/>
    <w:rsid w:val="00390CF7"/>
    <w:rsid w:val="003B43CE"/>
    <w:rsid w:val="003B532A"/>
    <w:rsid w:val="003E5933"/>
    <w:rsid w:val="003F3A52"/>
    <w:rsid w:val="0041373F"/>
    <w:rsid w:val="004267FB"/>
    <w:rsid w:val="00426B29"/>
    <w:rsid w:val="00432D39"/>
    <w:rsid w:val="00484A65"/>
    <w:rsid w:val="004C088A"/>
    <w:rsid w:val="004C0D9C"/>
    <w:rsid w:val="004D6B56"/>
    <w:rsid w:val="004E09CE"/>
    <w:rsid w:val="004E537F"/>
    <w:rsid w:val="004E58FA"/>
    <w:rsid w:val="004F0E11"/>
    <w:rsid w:val="004F3A59"/>
    <w:rsid w:val="004F7EFC"/>
    <w:rsid w:val="005119D7"/>
    <w:rsid w:val="0051521D"/>
    <w:rsid w:val="005222A0"/>
    <w:rsid w:val="00523CFC"/>
    <w:rsid w:val="0055344A"/>
    <w:rsid w:val="00577D42"/>
    <w:rsid w:val="005B024D"/>
    <w:rsid w:val="005C52D6"/>
    <w:rsid w:val="005D2CB9"/>
    <w:rsid w:val="005E74D8"/>
    <w:rsid w:val="005F6A8D"/>
    <w:rsid w:val="006178C4"/>
    <w:rsid w:val="00633EA4"/>
    <w:rsid w:val="0064505D"/>
    <w:rsid w:val="00666F78"/>
    <w:rsid w:val="006924FE"/>
    <w:rsid w:val="00693BF9"/>
    <w:rsid w:val="006A0AE8"/>
    <w:rsid w:val="006D0497"/>
    <w:rsid w:val="006E236E"/>
    <w:rsid w:val="0070053C"/>
    <w:rsid w:val="00701B26"/>
    <w:rsid w:val="0074559F"/>
    <w:rsid w:val="00746216"/>
    <w:rsid w:val="00764013"/>
    <w:rsid w:val="00772F64"/>
    <w:rsid w:val="00793D25"/>
    <w:rsid w:val="00795F67"/>
    <w:rsid w:val="00796213"/>
    <w:rsid w:val="00797C76"/>
    <w:rsid w:val="007B2E1D"/>
    <w:rsid w:val="007B463F"/>
    <w:rsid w:val="007B5FEF"/>
    <w:rsid w:val="007E39B7"/>
    <w:rsid w:val="00804080"/>
    <w:rsid w:val="0083487E"/>
    <w:rsid w:val="0083566B"/>
    <w:rsid w:val="0084723D"/>
    <w:rsid w:val="00856CAF"/>
    <w:rsid w:val="008656AB"/>
    <w:rsid w:val="008879B4"/>
    <w:rsid w:val="00893936"/>
    <w:rsid w:val="008955B8"/>
    <w:rsid w:val="008A3064"/>
    <w:rsid w:val="008B5A49"/>
    <w:rsid w:val="008C395F"/>
    <w:rsid w:val="008C6B89"/>
    <w:rsid w:val="008D3E9D"/>
    <w:rsid w:val="008E1EEB"/>
    <w:rsid w:val="008F40DC"/>
    <w:rsid w:val="00915D99"/>
    <w:rsid w:val="00923377"/>
    <w:rsid w:val="00931EE9"/>
    <w:rsid w:val="00943420"/>
    <w:rsid w:val="00957AE8"/>
    <w:rsid w:val="00971606"/>
    <w:rsid w:val="00990357"/>
    <w:rsid w:val="00997364"/>
    <w:rsid w:val="009B347C"/>
    <w:rsid w:val="00A075B2"/>
    <w:rsid w:val="00A1350A"/>
    <w:rsid w:val="00A1781C"/>
    <w:rsid w:val="00A2488D"/>
    <w:rsid w:val="00A54690"/>
    <w:rsid w:val="00A62EB4"/>
    <w:rsid w:val="00A74A2E"/>
    <w:rsid w:val="00A80665"/>
    <w:rsid w:val="00AB43E3"/>
    <w:rsid w:val="00AC0593"/>
    <w:rsid w:val="00AD2E20"/>
    <w:rsid w:val="00AD5D13"/>
    <w:rsid w:val="00AD758D"/>
    <w:rsid w:val="00AE44D5"/>
    <w:rsid w:val="00AE4C09"/>
    <w:rsid w:val="00AE512D"/>
    <w:rsid w:val="00B0262B"/>
    <w:rsid w:val="00B02DAB"/>
    <w:rsid w:val="00B12DFA"/>
    <w:rsid w:val="00B1431D"/>
    <w:rsid w:val="00B150FE"/>
    <w:rsid w:val="00B32BBA"/>
    <w:rsid w:val="00B561FE"/>
    <w:rsid w:val="00B64D7D"/>
    <w:rsid w:val="00B6777A"/>
    <w:rsid w:val="00BA0E96"/>
    <w:rsid w:val="00BE7215"/>
    <w:rsid w:val="00BE7C73"/>
    <w:rsid w:val="00BF439E"/>
    <w:rsid w:val="00C26606"/>
    <w:rsid w:val="00C30A57"/>
    <w:rsid w:val="00C4486D"/>
    <w:rsid w:val="00C50E6F"/>
    <w:rsid w:val="00C529B9"/>
    <w:rsid w:val="00C5629D"/>
    <w:rsid w:val="00C6376F"/>
    <w:rsid w:val="00C7009E"/>
    <w:rsid w:val="00C716E2"/>
    <w:rsid w:val="00C92117"/>
    <w:rsid w:val="00CA57B8"/>
    <w:rsid w:val="00D00395"/>
    <w:rsid w:val="00D0248D"/>
    <w:rsid w:val="00D21475"/>
    <w:rsid w:val="00D55537"/>
    <w:rsid w:val="00D609F2"/>
    <w:rsid w:val="00D8461F"/>
    <w:rsid w:val="00D86192"/>
    <w:rsid w:val="00D90C4C"/>
    <w:rsid w:val="00DA3DDC"/>
    <w:rsid w:val="00DD5FE1"/>
    <w:rsid w:val="00DF0776"/>
    <w:rsid w:val="00DF7C8F"/>
    <w:rsid w:val="00E026B6"/>
    <w:rsid w:val="00E21B3A"/>
    <w:rsid w:val="00E36E2E"/>
    <w:rsid w:val="00E50408"/>
    <w:rsid w:val="00E62AB1"/>
    <w:rsid w:val="00EA6C09"/>
    <w:rsid w:val="00EC6710"/>
    <w:rsid w:val="00ED2085"/>
    <w:rsid w:val="00EE2A34"/>
    <w:rsid w:val="00F262EF"/>
    <w:rsid w:val="00F7222B"/>
    <w:rsid w:val="00F74980"/>
    <w:rsid w:val="00FA46BA"/>
    <w:rsid w:val="00FC0FBC"/>
    <w:rsid w:val="00FF3E44"/>
    <w:rsid w:val="00FF5046"/>
    <w:rsid w:val="00FF52C3"/>
    <w:rsid w:val="01022FB5"/>
    <w:rsid w:val="01BD4FB7"/>
    <w:rsid w:val="040E5A95"/>
    <w:rsid w:val="0967680D"/>
    <w:rsid w:val="0C462983"/>
    <w:rsid w:val="0F4247B5"/>
    <w:rsid w:val="0F8A2B0D"/>
    <w:rsid w:val="14277F46"/>
    <w:rsid w:val="1E674B72"/>
    <w:rsid w:val="1E682698"/>
    <w:rsid w:val="20670189"/>
    <w:rsid w:val="2247416E"/>
    <w:rsid w:val="22E06980"/>
    <w:rsid w:val="25970BBB"/>
    <w:rsid w:val="2783545C"/>
    <w:rsid w:val="29237875"/>
    <w:rsid w:val="2AFC55AC"/>
    <w:rsid w:val="2B595843"/>
    <w:rsid w:val="2D5032FD"/>
    <w:rsid w:val="2E381A86"/>
    <w:rsid w:val="303469C6"/>
    <w:rsid w:val="363711EB"/>
    <w:rsid w:val="3A94481A"/>
    <w:rsid w:val="3C1C08F2"/>
    <w:rsid w:val="3F900265"/>
    <w:rsid w:val="43BE4985"/>
    <w:rsid w:val="476B32D0"/>
    <w:rsid w:val="50AB1516"/>
    <w:rsid w:val="51064F9C"/>
    <w:rsid w:val="515742F7"/>
    <w:rsid w:val="5159693E"/>
    <w:rsid w:val="546D5735"/>
    <w:rsid w:val="592E29C9"/>
    <w:rsid w:val="5EDF0A6C"/>
    <w:rsid w:val="61B56B12"/>
    <w:rsid w:val="627C55C1"/>
    <w:rsid w:val="65BE50D4"/>
    <w:rsid w:val="65D701F7"/>
    <w:rsid w:val="660A489A"/>
    <w:rsid w:val="68550E46"/>
    <w:rsid w:val="69C56E4D"/>
    <w:rsid w:val="6CA4030D"/>
    <w:rsid w:val="70205EFC"/>
    <w:rsid w:val="710350DD"/>
    <w:rsid w:val="75EF3997"/>
    <w:rsid w:val="795F1843"/>
    <w:rsid w:val="7E414461"/>
    <w:rsid w:val="7FEF48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93D5F80-141F-4707-8522-08ADA2966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EastAsia" w:hAnsiTheme="minorEastAsia"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uiPriority w:val="1"/>
    <w:unhideWhenUsed/>
    <w:qFormat/>
    <w:rPr>
      <w:sz w:val="28"/>
      <w:szCs w:val="24"/>
    </w:rPr>
  </w:style>
  <w:style w:type="paragraph" w:styleId="a5">
    <w:name w:val="Balloon Text"/>
    <w:basedOn w:val="a"/>
    <w:link w:val="Char0"/>
    <w:uiPriority w:val="99"/>
    <w:semiHidden/>
    <w:qFormat/>
    <w:rPr>
      <w:sz w:val="18"/>
      <w:szCs w:val="18"/>
    </w:rPr>
  </w:style>
  <w:style w:type="paragraph" w:styleId="a6">
    <w:name w:val="footer"/>
    <w:basedOn w:val="a"/>
    <w:link w:val="Char1"/>
    <w:uiPriority w:val="99"/>
    <w:semiHidden/>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3"/>
    <w:qFormat/>
    <w:pPr>
      <w:spacing w:line="360" w:lineRule="auto"/>
      <w:ind w:firstLineChars="200" w:firstLine="200"/>
    </w:pPr>
    <w:rPr>
      <w:rFonts w:ascii="Times New Roman" w:eastAsia="仿宋_GB2312" w:hAnsi="Times New Roman" w:cs="Times New Roman"/>
      <w:sz w:val="28"/>
      <w:szCs w:val="28"/>
    </w:rPr>
  </w:style>
  <w:style w:type="table" w:styleId="a9">
    <w:name w:val="Table Grid"/>
    <w:basedOn w:val="a1"/>
    <w:uiPriority w:val="59"/>
    <w:qFormat/>
    <w:locked/>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page number"/>
    <w:qFormat/>
  </w:style>
  <w:style w:type="character" w:styleId="ab">
    <w:name w:val="Emphasis"/>
    <w:basedOn w:val="a0"/>
    <w:qFormat/>
    <w:locked/>
    <w:rPr>
      <w:i/>
    </w:rPr>
  </w:style>
  <w:style w:type="character" w:styleId="ac">
    <w:name w:val="annotation reference"/>
    <w:basedOn w:val="a0"/>
    <w:uiPriority w:val="99"/>
    <w:semiHidden/>
    <w:unhideWhenUsed/>
    <w:qFormat/>
    <w:rPr>
      <w:sz w:val="21"/>
      <w:szCs w:val="21"/>
    </w:rPr>
  </w:style>
  <w:style w:type="paragraph" w:customStyle="1" w:styleId="Default">
    <w:name w:val="Default"/>
    <w:uiPriority w:val="99"/>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2">
    <w:name w:val="页眉 Char"/>
    <w:basedOn w:val="a0"/>
    <w:link w:val="a7"/>
    <w:qFormat/>
    <w:locked/>
    <w:rPr>
      <w:sz w:val="18"/>
      <w:szCs w:val="18"/>
    </w:rPr>
  </w:style>
  <w:style w:type="character" w:customStyle="1" w:styleId="Char1">
    <w:name w:val="页脚 Char"/>
    <w:basedOn w:val="a0"/>
    <w:link w:val="a6"/>
    <w:uiPriority w:val="99"/>
    <w:semiHidden/>
    <w:qFormat/>
    <w:locked/>
    <w:rPr>
      <w:sz w:val="18"/>
      <w:szCs w:val="18"/>
    </w:rPr>
  </w:style>
  <w:style w:type="character" w:customStyle="1" w:styleId="Char0">
    <w:name w:val="批注框文本 Char"/>
    <w:basedOn w:val="a0"/>
    <w:link w:val="a5"/>
    <w:uiPriority w:val="99"/>
    <w:semiHidden/>
    <w:qFormat/>
    <w:locked/>
    <w:rPr>
      <w:sz w:val="18"/>
      <w:szCs w:val="18"/>
    </w:rPr>
  </w:style>
  <w:style w:type="paragraph" w:styleId="ad">
    <w:name w:val="List Paragraph"/>
    <w:basedOn w:val="a"/>
    <w:uiPriority w:val="34"/>
    <w:qFormat/>
    <w:pPr>
      <w:ind w:firstLineChars="200" w:firstLine="420"/>
    </w:pPr>
  </w:style>
  <w:style w:type="character" w:customStyle="1" w:styleId="Char3">
    <w:name w:val="批注主题 Char"/>
    <w:basedOn w:val="Char"/>
    <w:link w:val="a8"/>
    <w:qFormat/>
    <w:rPr>
      <w:rFonts w:ascii="Times New Roman" w:eastAsia="仿宋_GB2312" w:hAnsi="Times New Roman" w:cs="Calibri"/>
      <w:sz w:val="28"/>
      <w:szCs w:val="28"/>
    </w:rPr>
  </w:style>
  <w:style w:type="character" w:customStyle="1" w:styleId="Char">
    <w:name w:val="批注文字 Char"/>
    <w:basedOn w:val="a0"/>
    <w:link w:val="a3"/>
    <w:uiPriority w:val="99"/>
    <w:semiHidden/>
    <w:qFormat/>
    <w:rPr>
      <w:rFonts w:cs="Calibri"/>
      <w:szCs w:val="21"/>
    </w:rPr>
  </w:style>
  <w:style w:type="character" w:customStyle="1" w:styleId="Char10">
    <w:name w:val="批注主题 Char1"/>
    <w:basedOn w:val="Char"/>
    <w:uiPriority w:val="99"/>
    <w:semiHidden/>
    <w:qFormat/>
    <w:rPr>
      <w:rFonts w:cs="Calibri"/>
      <w:b/>
      <w:bCs/>
      <w:szCs w:val="21"/>
    </w:rPr>
  </w:style>
  <w:style w:type="paragraph" w:customStyle="1" w:styleId="ae">
    <w:name w:val="正文内容"/>
    <w:basedOn w:val="a"/>
    <w:qFormat/>
    <w:pPr>
      <w:ind w:firstLineChars="200" w:firstLine="200"/>
    </w:pPr>
    <w:rPr>
      <w:rFonts w:ascii="Arial" w:hAnsi="Arial"/>
    </w:rPr>
  </w:style>
  <w:style w:type="paragraph" w:customStyle="1" w:styleId="1">
    <w:name w:val="修订1"/>
    <w:hidden/>
    <w:uiPriority w:val="99"/>
    <w:unhideWhenUsed/>
    <w:qFormat/>
    <w:rPr>
      <w:rFonts w:ascii="Calibri" w:hAnsi="Calibri" w:cs="Calibri"/>
      <w:kern w:val="2"/>
      <w:sz w:val="21"/>
      <w:szCs w:val="21"/>
    </w:rPr>
  </w:style>
  <w:style w:type="paragraph" w:customStyle="1" w:styleId="2">
    <w:name w:val="修订2"/>
    <w:hidden/>
    <w:uiPriority w:val="99"/>
    <w:semiHidden/>
    <w:qFormat/>
    <w:rPr>
      <w:rFonts w:asciiTheme="minorEastAsia" w:hAnsiTheme="minorEastAsia"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6</Pages>
  <Words>410</Words>
  <Characters>2337</Characters>
  <Application>Microsoft Office Word</Application>
  <DocSecurity>0</DocSecurity>
  <Lines>19</Lines>
  <Paragraphs>5</Paragraphs>
  <ScaleCrop>false</ScaleCrop>
  <Company>Comac</Company>
  <LinksUpToDate>false</LinksUpToDate>
  <CharactersWithSpaces>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王丹</dc:creator>
  <cp:lastModifiedBy>康冠群</cp:lastModifiedBy>
  <cp:revision>6</cp:revision>
  <dcterms:created xsi:type="dcterms:W3CDTF">2025-02-25T03:17:00Z</dcterms:created>
  <dcterms:modified xsi:type="dcterms:W3CDTF">2025-02-27T12:51:00Z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F037723774A846769ED0D9D31E1D3CB9_13</vt:lpwstr>
  </property>
  <property fmtid="{D5CDD505-2E9C-101B-9397-08002B2CF9AE}" pid="4" name="KSOTemplateDocerSaveRecord">
    <vt:lpwstr>eyJoZGlkIjoiMzEwNTM5NzYwMDRjMzkwZTVkZjY2ODkwMGIxNGU0OTUiLCJ1c2VySWQiOiIzMjI0ODkyOTUifQ==</vt:lpwstr>
  </property>
  <property fmtid="{D5CDD505-2E9C-101B-9397-08002B2CF9AE}" pid="5" name="_IPGFID">
    <vt:lpwstr>[DocID]=C7BBF960-871D-478B-8BFB-9597700E11F8</vt:lpwstr>
  </property>
  <property fmtid="{D5CDD505-2E9C-101B-9397-08002B2CF9AE}" pid="6" name="_IPGFLOW_P-B7C1_E-1_FP-1_SP-1_CV-A11F47B8_CN-D4426570">
    <vt:lpwstr>egi68nhWYve3RDUzEuiiH/PkZPV0tEMGMprwiGaJOQRGlJHfSy06weDJr0eYzMUzPDgbUw0Bm0Td4XbWpTHYJwrtWgUIzkBEoMIn4y8nXq4a2TefArW9xMKxWb4N4WLcVsIBsEOakRvm6iRf2oddEDw8U4+vBuCEpRJjS2FbTVVCqzUDAhACjlAx+79BkE4RrEZXbo303dcjS8rI0MOHSJ1Jklx/ZQxmP8jX7toMhq37Hhi/od1C+fLsUer161D</vt:lpwstr>
  </property>
  <property fmtid="{D5CDD505-2E9C-101B-9397-08002B2CF9AE}" pid="7" name="_IPGFLOW_P-B7C1_E-1_FP-1_SP-2_CV-91360657_CN-DC46CD9F">
    <vt:lpwstr>ddr9A5/L4U+UQcKL2ktJnHEdSIcmeqNTwj4mkb/IQH+CZnsZExNxVBP5CxkStvSgtaUwwrOAJd88+p1NPMfGHhBIgbH+Vppva0tKCpvzTHIpfcv/KLER+pYtpR09f1LOoT92P0HEQSp35MBmgx7K+8Q==</vt:lpwstr>
  </property>
  <property fmtid="{D5CDD505-2E9C-101B-9397-08002B2CF9AE}" pid="8" name="_IPGFLOW_P-B7C1_E-0_FP-1_CV-FB4CA461_CN-C71EFC15">
    <vt:lpwstr>DPSPMK|3|408|2|0</vt:lpwstr>
  </property>
  <property fmtid="{D5CDD505-2E9C-101B-9397-08002B2CF9AE}" pid="9" name="_IPGFLOW_P-B7C1_E-1_FP-2_SP-1_CV-73A12099_CN-185CD9C0">
    <vt:lpwstr>egi68nhWYve3RDUzEuiiH0YgkkvNtXxyTKe7d15qL/GSMVRIibPVLvMHLnv5541uKF8RqsfdmhKux+7GcMnqWgSVDYpySAN4iuxMQ+pz5CkBwQ42yFf40LyMOCkvhA+ICu274LIkpcw489SLA95o0/roVcWNhdG/3KmX4qB5OTDnfyd6H0+29NzhIgPqNof0bUzaXYySfuBT4L2WmPcmehK2gss52mZXZY17rGBRblQwWezKbNtYSXhSdMXdqhq</vt:lpwstr>
  </property>
  <property fmtid="{D5CDD505-2E9C-101B-9397-08002B2CF9AE}" pid="10" name="_IPGFLOW_P-B7C1_E-1_FP-2_SP-2_CV-E81D26C7_CN-4511D5AE">
    <vt:lpwstr>ubhw5EjjNUI9qtBHuEfZPObtvLdQPZHD7HwuarxT9LObhnfpxRmc4QS4b6uRUAcQj+fzus1KsJU2h7+grp5Td7pFpcuzUzflUs1/+lt1obt6NGwOQGdWPDvmh1jCkL9utexnNBxXGm7OMV3sTmb9dUg==</vt:lpwstr>
  </property>
  <property fmtid="{D5CDD505-2E9C-101B-9397-08002B2CF9AE}" pid="11" name="_IPGFLOW_P-B7C1_E-0_FP-2_CV-FB4CA461_CN-7AD490DB">
    <vt:lpwstr>DPSPMK|3|408|2|0</vt:lpwstr>
  </property>
  <property fmtid="{D5CDD505-2E9C-101B-9397-08002B2CF9AE}" pid="12" name="_IPGFLOW_P-B7C1_E-0_CV-8BD6D882_CN-5C79E7B7">
    <vt:lpwstr>DPFPMK|3|50|3|0</vt:lpwstr>
  </property>
  <property fmtid="{D5CDD505-2E9C-101B-9397-08002B2CF9AE}" pid="13" name="_IPGFLOW_P-B7C1_E-1_FP-3_SP-1_CV-DB2E5A74_CN-36FC7040">
    <vt:lpwstr>egi68nhWYve3RDUzEuiiHw+bQ0B3dae1KI/mJY6iScsHXn7s6z+3P/7z6w/Pr5Yha9wVgQ4JpDEv9w9vmCqgYqLYTRUB+fjscwwR6eV8+gPIorXdO46ieUKweVGRL5m9wFz7wIJiEbZYd3l92L8ipzzYcHg3lH2aSj8N/yWWQ4UANCrFEVE6G5WI0ctFTyL2rXayBsHTI2DE/qMUvXzPM7YCpMzJI42sk7tAPDwCpgZ/FYbfaxwg+Qx91bl4CpA</vt:lpwstr>
  </property>
  <property fmtid="{D5CDD505-2E9C-101B-9397-08002B2CF9AE}" pid="14" name="_IPGFLOW_P-B7C1_E-1_FP-3_SP-2_CV-FC0268D5_CN-53DE6B01">
    <vt:lpwstr>+wIyysVN+4oxULF8C1/tWr/YNXfwOHtFDcPjDZKb/FZBjJR8mBvemYiWgXOHEktqzYaxQK7DwNS3A3dSSfEu55I5uFxiy/ttkgHgJuTRKgzqJIbRxSYbPMWddu6x8Lzwda8wJMz9Zi/nmI0bQGp75Lw==</vt:lpwstr>
  </property>
  <property fmtid="{D5CDD505-2E9C-101B-9397-08002B2CF9AE}" pid="15" name="_IPGFLOW_P-B7C1_E-0_FP-3_CV-FB4CA461_CN-A742495E">
    <vt:lpwstr>DPSPMK|3|408|2|0</vt:lpwstr>
  </property>
</Properties>
</file>